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17B4C" w14:textId="77777777" w:rsidR="00962A3F" w:rsidRDefault="008B1D3D" w:rsidP="008B1D3D">
      <w:pPr>
        <w:pStyle w:val="NormalWeb"/>
        <w:jc w:val="center"/>
        <w:rPr>
          <w:rFonts w:ascii="Garamond" w:hAnsi="Garamond" w:cs="Arial"/>
          <w:b/>
          <w:bCs/>
          <w:color w:val="000000" w:themeColor="text1"/>
          <w:sz w:val="24"/>
          <w:szCs w:val="24"/>
          <w:u w:val="single"/>
        </w:rPr>
      </w:pPr>
      <w:r>
        <w:rPr>
          <w:rFonts w:ascii="Garamond" w:hAnsi="Garamond" w:cs="Arial"/>
          <w:b/>
          <w:bCs/>
          <w:color w:val="000000" w:themeColor="text1"/>
          <w:sz w:val="24"/>
          <w:szCs w:val="24"/>
          <w:u w:val="single"/>
        </w:rPr>
        <w:t>B</w:t>
      </w:r>
      <w:r w:rsidR="002F730A">
        <w:rPr>
          <w:rFonts w:ascii="Garamond" w:hAnsi="Garamond" w:cs="Arial"/>
          <w:b/>
          <w:bCs/>
          <w:color w:val="000000" w:themeColor="text1"/>
          <w:sz w:val="24"/>
          <w:szCs w:val="24"/>
          <w:u w:val="single"/>
        </w:rPr>
        <w:t>usiness Property Relief</w:t>
      </w:r>
      <w:r>
        <w:rPr>
          <w:rFonts w:ascii="Garamond" w:hAnsi="Garamond" w:cs="Arial"/>
          <w:b/>
          <w:bCs/>
          <w:color w:val="000000" w:themeColor="text1"/>
          <w:sz w:val="24"/>
          <w:szCs w:val="24"/>
          <w:u w:val="single"/>
        </w:rPr>
        <w:t xml:space="preserve"> and A</w:t>
      </w:r>
      <w:r w:rsidR="002F730A">
        <w:rPr>
          <w:rFonts w:ascii="Garamond" w:hAnsi="Garamond" w:cs="Arial"/>
          <w:b/>
          <w:bCs/>
          <w:color w:val="000000" w:themeColor="text1"/>
          <w:sz w:val="24"/>
          <w:szCs w:val="24"/>
          <w:u w:val="single"/>
        </w:rPr>
        <w:t>gricultural Property Relief</w:t>
      </w:r>
      <w:r>
        <w:rPr>
          <w:rFonts w:ascii="Garamond" w:hAnsi="Garamond" w:cs="Arial"/>
          <w:b/>
          <w:bCs/>
          <w:color w:val="000000" w:themeColor="text1"/>
          <w:sz w:val="24"/>
          <w:szCs w:val="24"/>
          <w:u w:val="single"/>
        </w:rPr>
        <w:t xml:space="preserve">: </w:t>
      </w:r>
    </w:p>
    <w:p w14:paraId="2DF80F39" w14:textId="73CAEF0B" w:rsidR="00194EFC" w:rsidRPr="008B1D3D" w:rsidRDefault="008B1D3D" w:rsidP="008B1D3D">
      <w:pPr>
        <w:pStyle w:val="NormalWeb"/>
        <w:jc w:val="center"/>
        <w:rPr>
          <w:rFonts w:ascii="Garamond" w:hAnsi="Garamond" w:cs="Arial"/>
          <w:b/>
          <w:bCs/>
          <w:color w:val="000000" w:themeColor="text1"/>
          <w:sz w:val="24"/>
          <w:szCs w:val="24"/>
          <w:u w:val="single"/>
        </w:rPr>
      </w:pPr>
      <w:r>
        <w:rPr>
          <w:rFonts w:ascii="Garamond" w:hAnsi="Garamond" w:cs="Arial"/>
          <w:b/>
          <w:bCs/>
          <w:color w:val="000000" w:themeColor="text1"/>
          <w:sz w:val="24"/>
          <w:szCs w:val="24"/>
          <w:u w:val="single"/>
        </w:rPr>
        <w:t>current issues</w:t>
      </w:r>
    </w:p>
    <w:p w14:paraId="50E89285" w14:textId="77777777" w:rsidR="00194EFC" w:rsidRDefault="00194EFC" w:rsidP="008B1D3D">
      <w:pPr>
        <w:pStyle w:val="NormalWeb"/>
        <w:rPr>
          <w:rFonts w:ascii="Garamond" w:hAnsi="Garamond" w:cs="Arial"/>
          <w:b/>
          <w:bCs/>
          <w:color w:val="000000" w:themeColor="text1"/>
          <w:sz w:val="24"/>
          <w:szCs w:val="24"/>
        </w:rPr>
      </w:pPr>
    </w:p>
    <w:p w14:paraId="56CBE518" w14:textId="1100B321" w:rsidR="008B1D3D" w:rsidRDefault="008B1D3D" w:rsidP="008B1D3D">
      <w:pPr>
        <w:pStyle w:val="Heading2"/>
        <w:jc w:val="both"/>
        <w:rPr>
          <w:rFonts w:ascii="Garamond" w:hAnsi="Garamond"/>
          <w:b/>
          <w:bCs/>
          <w:color w:val="000000" w:themeColor="text1"/>
          <w:sz w:val="24"/>
          <w:szCs w:val="24"/>
          <w:u w:val="single"/>
        </w:rPr>
      </w:pPr>
      <w:r w:rsidRPr="008B1D3D">
        <w:rPr>
          <w:rFonts w:ascii="Garamond" w:hAnsi="Garamond"/>
          <w:b/>
          <w:bCs/>
          <w:color w:val="000000" w:themeColor="text1"/>
          <w:sz w:val="24"/>
          <w:szCs w:val="24"/>
          <w:u w:val="single"/>
        </w:rPr>
        <w:t>Business Property Relief</w:t>
      </w:r>
      <w:r w:rsidR="001A65F6">
        <w:rPr>
          <w:rFonts w:ascii="Garamond" w:hAnsi="Garamond"/>
          <w:b/>
          <w:bCs/>
          <w:color w:val="000000" w:themeColor="text1"/>
          <w:sz w:val="24"/>
          <w:szCs w:val="24"/>
          <w:u w:val="single"/>
        </w:rPr>
        <w:t>: sections 103-114 of the Inheritance Tax Act 1984</w:t>
      </w:r>
    </w:p>
    <w:p w14:paraId="66F96DDE" w14:textId="67B17BE6" w:rsidR="0064704E" w:rsidRPr="0064704E" w:rsidRDefault="0064704E" w:rsidP="0064704E">
      <w:pPr>
        <w:pStyle w:val="Heading3"/>
        <w:rPr>
          <w:rFonts w:ascii="Garamond" w:hAnsi="Garamond"/>
          <w:b/>
          <w:bCs/>
          <w:i/>
          <w:iCs/>
          <w:color w:val="000000" w:themeColor="text1"/>
          <w:sz w:val="24"/>
          <w:szCs w:val="24"/>
          <w:u w:val="single"/>
        </w:rPr>
      </w:pPr>
      <w:r w:rsidRPr="0064704E">
        <w:rPr>
          <w:rFonts w:ascii="Garamond" w:hAnsi="Garamond"/>
          <w:b/>
          <w:bCs/>
          <w:i/>
          <w:iCs/>
          <w:color w:val="000000" w:themeColor="text1"/>
          <w:sz w:val="24"/>
          <w:szCs w:val="24"/>
          <w:u w:val="single"/>
        </w:rPr>
        <w:t>Operation of relief</w:t>
      </w:r>
      <w:r>
        <w:rPr>
          <w:rFonts w:ascii="Garamond" w:hAnsi="Garamond"/>
          <w:b/>
          <w:bCs/>
          <w:i/>
          <w:iCs/>
          <w:color w:val="000000" w:themeColor="text1"/>
          <w:sz w:val="24"/>
          <w:szCs w:val="24"/>
          <w:u w:val="single"/>
        </w:rPr>
        <w:t>:</w:t>
      </w:r>
    </w:p>
    <w:p w14:paraId="405AD3A6" w14:textId="0ED5A4D7" w:rsidR="00BB71C7" w:rsidRPr="004478C4" w:rsidRDefault="002F730A" w:rsidP="008B1D3D">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When the conditions for Business Property Relief (“</w:t>
      </w:r>
      <w:r w:rsidRPr="00365E43">
        <w:rPr>
          <w:rFonts w:ascii="Garamond" w:hAnsi="Garamond" w:cs="Arial"/>
          <w:b/>
          <w:bCs/>
          <w:color w:val="000000" w:themeColor="text1"/>
          <w:sz w:val="24"/>
          <w:szCs w:val="24"/>
        </w:rPr>
        <w:t>BPR</w:t>
      </w:r>
      <w:r>
        <w:rPr>
          <w:rFonts w:ascii="Garamond" w:hAnsi="Garamond" w:cs="Arial"/>
          <w:color w:val="000000" w:themeColor="text1"/>
          <w:sz w:val="24"/>
          <w:szCs w:val="24"/>
        </w:rPr>
        <w:t xml:space="preserve">”) are met, </w:t>
      </w:r>
      <w:r w:rsidR="00365E43">
        <w:rPr>
          <w:rFonts w:ascii="Garamond" w:hAnsi="Garamond" w:cs="Arial"/>
          <w:color w:val="000000" w:themeColor="text1"/>
          <w:sz w:val="24"/>
          <w:szCs w:val="24"/>
        </w:rPr>
        <w:t>the transfer of value</w:t>
      </w:r>
      <w:r w:rsidR="004C53ED">
        <w:rPr>
          <w:rStyle w:val="FootnoteReference"/>
          <w:rFonts w:ascii="Garamond" w:hAnsi="Garamond" w:cs="Arial"/>
          <w:color w:val="000000" w:themeColor="text1"/>
          <w:sz w:val="24"/>
          <w:szCs w:val="24"/>
        </w:rPr>
        <w:footnoteReference w:id="1"/>
      </w:r>
      <w:r w:rsidR="00365E43">
        <w:rPr>
          <w:rFonts w:ascii="Garamond" w:hAnsi="Garamond" w:cs="Arial"/>
          <w:color w:val="000000" w:themeColor="text1"/>
          <w:sz w:val="24"/>
          <w:szCs w:val="24"/>
        </w:rPr>
        <w:t xml:space="preserve"> of relevant business property (“</w:t>
      </w:r>
      <w:r w:rsidR="00365E43" w:rsidRPr="00365E43">
        <w:rPr>
          <w:rFonts w:ascii="Garamond" w:hAnsi="Garamond" w:cs="Arial"/>
          <w:b/>
          <w:bCs/>
          <w:color w:val="000000" w:themeColor="text1"/>
          <w:sz w:val="24"/>
          <w:szCs w:val="24"/>
        </w:rPr>
        <w:t>RBP</w:t>
      </w:r>
      <w:r w:rsidR="00365E43">
        <w:rPr>
          <w:rFonts w:ascii="Garamond" w:hAnsi="Garamond" w:cs="Arial"/>
          <w:color w:val="000000" w:themeColor="text1"/>
          <w:sz w:val="24"/>
          <w:szCs w:val="24"/>
        </w:rPr>
        <w:t>”) is currently reduced by either 100% or 50%</w:t>
      </w:r>
      <w:r w:rsidR="00273FF0">
        <w:rPr>
          <w:rFonts w:ascii="Garamond" w:hAnsi="Garamond" w:cs="Arial"/>
          <w:color w:val="000000" w:themeColor="text1"/>
          <w:sz w:val="24"/>
          <w:szCs w:val="24"/>
        </w:rPr>
        <w:t xml:space="preserve"> for IHT purposes</w:t>
      </w:r>
      <w:r w:rsidR="00365E43">
        <w:rPr>
          <w:rFonts w:ascii="Garamond" w:hAnsi="Garamond" w:cs="Arial"/>
          <w:color w:val="000000" w:themeColor="text1"/>
          <w:sz w:val="24"/>
          <w:szCs w:val="24"/>
        </w:rPr>
        <w:t xml:space="preserve">, depending on what the asset is and who owns the asset. </w:t>
      </w:r>
      <w:r w:rsidR="00147E3D">
        <w:rPr>
          <w:rFonts w:ascii="Garamond" w:hAnsi="Garamond" w:cs="Arial"/>
          <w:color w:val="000000" w:themeColor="text1"/>
          <w:sz w:val="24"/>
          <w:szCs w:val="24"/>
        </w:rPr>
        <w:t xml:space="preserve">Where the conditions are met, the relief applies automatically. </w:t>
      </w:r>
    </w:p>
    <w:p w14:paraId="45AE85E4" w14:textId="75AB3D4A" w:rsidR="004478C4" w:rsidRPr="004478C4" w:rsidRDefault="004478C4" w:rsidP="008B1D3D">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Section 104 IHTA 1984 states as follows:</w:t>
      </w:r>
    </w:p>
    <w:p w14:paraId="1CC27A3C" w14:textId="262400D6" w:rsidR="004478C4" w:rsidRPr="004478C4" w:rsidRDefault="004478C4" w:rsidP="004478C4">
      <w:pPr>
        <w:pStyle w:val="NormalWeb"/>
        <w:ind w:left="360"/>
        <w:jc w:val="both"/>
        <w:rPr>
          <w:rFonts w:ascii="Garamond" w:hAnsi="Garamond" w:cs="Arial"/>
          <w:i/>
          <w:iCs/>
          <w:color w:val="000000" w:themeColor="text1"/>
          <w:sz w:val="24"/>
          <w:szCs w:val="24"/>
        </w:rPr>
      </w:pPr>
      <w:r>
        <w:rPr>
          <w:rFonts w:ascii="Garamond" w:hAnsi="Garamond" w:cs="Arial"/>
          <w:i/>
          <w:iCs/>
          <w:color w:val="000000" w:themeColor="text1"/>
          <w:sz w:val="24"/>
          <w:szCs w:val="24"/>
        </w:rPr>
        <w:t>“</w:t>
      </w:r>
      <w:r w:rsidRPr="004478C4">
        <w:rPr>
          <w:rFonts w:ascii="Garamond" w:hAnsi="Garamond" w:cs="Arial"/>
          <w:i/>
          <w:iCs/>
          <w:color w:val="000000" w:themeColor="text1"/>
          <w:sz w:val="24"/>
          <w:szCs w:val="24"/>
        </w:rPr>
        <w:t>104.— The relief.</w:t>
      </w:r>
    </w:p>
    <w:p w14:paraId="6BD8073E" w14:textId="27E8CF5A" w:rsidR="004478C4" w:rsidRPr="004478C4" w:rsidRDefault="004478C4" w:rsidP="004478C4">
      <w:pPr>
        <w:pStyle w:val="NormalWeb"/>
        <w:ind w:left="360"/>
        <w:jc w:val="both"/>
        <w:rPr>
          <w:rFonts w:ascii="Garamond" w:hAnsi="Garamond" w:cs="Arial"/>
          <w:i/>
          <w:iCs/>
          <w:color w:val="000000" w:themeColor="text1"/>
          <w:sz w:val="24"/>
          <w:szCs w:val="24"/>
        </w:rPr>
      </w:pPr>
      <w:r w:rsidRPr="004478C4">
        <w:rPr>
          <w:rFonts w:ascii="Garamond" w:hAnsi="Garamond" w:cs="Arial"/>
          <w:i/>
          <w:iCs/>
          <w:color w:val="000000" w:themeColor="text1"/>
          <w:sz w:val="24"/>
          <w:szCs w:val="24"/>
        </w:rPr>
        <w:t>(1)  Where the whole or part of the value transferred by a transfer of value is attributable to the value of any relevant business property, the whole or that part of the value transferred shall be treated as reduced—</w:t>
      </w:r>
    </w:p>
    <w:p w14:paraId="599ABF3F" w14:textId="0079271A" w:rsidR="004478C4" w:rsidRPr="004478C4" w:rsidRDefault="004478C4" w:rsidP="004478C4">
      <w:pPr>
        <w:pStyle w:val="NormalWeb"/>
        <w:ind w:left="360"/>
        <w:jc w:val="both"/>
        <w:rPr>
          <w:rFonts w:ascii="Garamond" w:hAnsi="Garamond" w:cs="Arial"/>
          <w:i/>
          <w:iCs/>
          <w:color w:val="000000" w:themeColor="text1"/>
          <w:sz w:val="24"/>
          <w:szCs w:val="24"/>
        </w:rPr>
      </w:pPr>
      <w:r w:rsidRPr="004478C4">
        <w:rPr>
          <w:rFonts w:ascii="Garamond" w:hAnsi="Garamond" w:cs="Arial"/>
          <w:i/>
          <w:iCs/>
          <w:color w:val="000000" w:themeColor="text1"/>
          <w:sz w:val="24"/>
          <w:szCs w:val="24"/>
        </w:rPr>
        <w:t>(a)  in the case of property falling within section 105(1)(a) or [(b) or (bb) below by 100 per cent;</w:t>
      </w:r>
    </w:p>
    <w:p w14:paraId="57746C39" w14:textId="59724753" w:rsidR="004478C4" w:rsidRPr="00365E43" w:rsidRDefault="004478C4" w:rsidP="004478C4">
      <w:pPr>
        <w:pStyle w:val="NormalWeb"/>
        <w:ind w:left="360"/>
        <w:jc w:val="both"/>
        <w:rPr>
          <w:rFonts w:ascii="Garamond" w:hAnsi="Garamond" w:cs="Arial"/>
          <w:i/>
          <w:iCs/>
          <w:color w:val="000000" w:themeColor="text1"/>
          <w:sz w:val="24"/>
          <w:szCs w:val="24"/>
        </w:rPr>
      </w:pPr>
      <w:r w:rsidRPr="004478C4">
        <w:rPr>
          <w:rFonts w:ascii="Garamond" w:hAnsi="Garamond" w:cs="Arial"/>
          <w:i/>
          <w:iCs/>
          <w:color w:val="000000" w:themeColor="text1"/>
          <w:sz w:val="24"/>
          <w:szCs w:val="24"/>
        </w:rPr>
        <w:t>(b)   in the case of other relevant business property, by 50 per cent</w:t>
      </w:r>
      <w:r>
        <w:rPr>
          <w:rFonts w:ascii="Garamond" w:hAnsi="Garamond" w:cs="Arial"/>
          <w:i/>
          <w:iCs/>
          <w:color w:val="000000" w:themeColor="text1"/>
          <w:sz w:val="24"/>
          <w:szCs w:val="24"/>
        </w:rPr>
        <w:t>.”</w:t>
      </w:r>
    </w:p>
    <w:p w14:paraId="15A13D1D" w14:textId="69C7B203" w:rsidR="00365E43" w:rsidRPr="00DE5C94" w:rsidRDefault="00273FF0" w:rsidP="008B1D3D">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To qualify as RBP</w:t>
      </w:r>
      <w:r w:rsidR="004936B0">
        <w:rPr>
          <w:rFonts w:ascii="Garamond" w:hAnsi="Garamond" w:cs="Arial"/>
          <w:color w:val="000000" w:themeColor="text1"/>
          <w:sz w:val="24"/>
          <w:szCs w:val="24"/>
        </w:rPr>
        <w:t xml:space="preserve"> at 100%</w:t>
      </w:r>
      <w:r>
        <w:rPr>
          <w:rFonts w:ascii="Garamond" w:hAnsi="Garamond" w:cs="Arial"/>
          <w:color w:val="000000" w:themeColor="text1"/>
          <w:sz w:val="24"/>
          <w:szCs w:val="24"/>
        </w:rPr>
        <w:t xml:space="preserve">, the property must </w:t>
      </w:r>
      <w:r w:rsidR="00962A3F">
        <w:rPr>
          <w:rFonts w:ascii="Garamond" w:hAnsi="Garamond" w:cs="Arial"/>
          <w:color w:val="000000" w:themeColor="text1"/>
          <w:sz w:val="24"/>
          <w:szCs w:val="24"/>
        </w:rPr>
        <w:t xml:space="preserve">either be a business carried on by a sole trader, an interest in a business </w:t>
      </w:r>
      <w:r w:rsidR="004936B0">
        <w:rPr>
          <w:rFonts w:ascii="Garamond" w:hAnsi="Garamond" w:cs="Arial"/>
          <w:color w:val="000000" w:themeColor="text1"/>
          <w:sz w:val="24"/>
          <w:szCs w:val="24"/>
        </w:rPr>
        <w:t xml:space="preserve">(e.g. a partnership share), unquoted company shares or unquoted company securities. </w:t>
      </w:r>
    </w:p>
    <w:p w14:paraId="52B6380B" w14:textId="77777777" w:rsidR="00EC2F87" w:rsidRPr="00EC2F87" w:rsidRDefault="00DE5C94" w:rsidP="008B1D3D">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To qualify as RBP at 50%, </w:t>
      </w:r>
      <w:r w:rsidR="00513238">
        <w:rPr>
          <w:rFonts w:ascii="Garamond" w:hAnsi="Garamond" w:cs="Arial"/>
          <w:color w:val="000000" w:themeColor="text1"/>
          <w:sz w:val="24"/>
          <w:szCs w:val="24"/>
        </w:rPr>
        <w:t xml:space="preserve">there can be </w:t>
      </w:r>
    </w:p>
    <w:p w14:paraId="5A723359" w14:textId="77777777" w:rsidR="00EC2F87" w:rsidRPr="00EC2F87" w:rsidRDefault="00513238" w:rsidP="00EC2F87">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quoted company shares or securities that either by themselves or when combined with other quoted shares and securities owned by the transferor give control of more than 50% of the values on all questions affecting the company as a whole, </w:t>
      </w:r>
    </w:p>
    <w:p w14:paraId="3F7019AB" w14:textId="3390F0CA" w:rsidR="00DE5C94" w:rsidRPr="00EC2F87" w:rsidRDefault="00513238" w:rsidP="00EC2F87">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land, buildings, plant and machinery </w:t>
      </w:r>
      <w:r w:rsidR="00EC2F87">
        <w:rPr>
          <w:rFonts w:ascii="Garamond" w:hAnsi="Garamond" w:cs="Arial"/>
          <w:color w:val="000000" w:themeColor="text1"/>
          <w:sz w:val="24"/>
          <w:szCs w:val="24"/>
        </w:rPr>
        <w:t xml:space="preserve">owned by the transferor and directly used wholly or mainly for the purposes of a business carried on by a company their controlled (provided the interest in the company also qualified as RPB), </w:t>
      </w:r>
    </w:p>
    <w:p w14:paraId="3846F64D" w14:textId="786B321C" w:rsidR="00EC2F87" w:rsidRPr="0064704E" w:rsidRDefault="00EC2F87" w:rsidP="00EC2F87">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land, buildings, machinery or plant held in trust in which the transferor had an </w:t>
      </w:r>
      <w:r w:rsidR="009C20BB">
        <w:rPr>
          <w:rFonts w:ascii="Garamond" w:hAnsi="Garamond" w:cs="Arial"/>
          <w:color w:val="000000" w:themeColor="text1"/>
          <w:sz w:val="24"/>
          <w:szCs w:val="24"/>
        </w:rPr>
        <w:t>interest in possession and used wholly or mainly for the purposes of a business carried on by them (provided the interest also qualified as RBP)</w:t>
      </w:r>
      <w:r w:rsidR="00523FD8">
        <w:rPr>
          <w:rFonts w:ascii="Garamond" w:hAnsi="Garamond" w:cs="Arial"/>
          <w:color w:val="000000" w:themeColor="text1"/>
          <w:sz w:val="24"/>
          <w:szCs w:val="24"/>
        </w:rPr>
        <w:t>, unless both the trust assets and transferor’s business were transferred at the same time (usually on death</w:t>
      </w:r>
      <w:r w:rsidR="00A56811">
        <w:rPr>
          <w:rFonts w:ascii="Garamond" w:hAnsi="Garamond" w:cs="Arial"/>
          <w:color w:val="000000" w:themeColor="text1"/>
          <w:sz w:val="24"/>
          <w:szCs w:val="24"/>
        </w:rPr>
        <w:t xml:space="preserve">), in which case the 100% rate is available. </w:t>
      </w:r>
    </w:p>
    <w:p w14:paraId="331F94DF" w14:textId="77777777" w:rsidR="0064704E" w:rsidRDefault="0064704E" w:rsidP="0064704E">
      <w:pPr>
        <w:pStyle w:val="NormalWeb"/>
        <w:jc w:val="both"/>
        <w:rPr>
          <w:rFonts w:ascii="Garamond" w:hAnsi="Garamond" w:cs="Arial"/>
          <w:color w:val="000000" w:themeColor="text1"/>
          <w:sz w:val="24"/>
          <w:szCs w:val="24"/>
        </w:rPr>
      </w:pPr>
    </w:p>
    <w:p w14:paraId="7F5C6A80" w14:textId="77777777" w:rsidR="0064704E" w:rsidRDefault="0064704E" w:rsidP="0064704E">
      <w:pPr>
        <w:pStyle w:val="NormalWeb"/>
        <w:jc w:val="both"/>
        <w:rPr>
          <w:rFonts w:ascii="Garamond" w:hAnsi="Garamond" w:cs="Arial"/>
          <w:color w:val="000000" w:themeColor="text1"/>
          <w:sz w:val="24"/>
          <w:szCs w:val="24"/>
        </w:rPr>
      </w:pPr>
    </w:p>
    <w:p w14:paraId="0B4D08D9" w14:textId="3281922D" w:rsidR="0064704E" w:rsidRPr="0064704E" w:rsidRDefault="0064704E" w:rsidP="0064704E">
      <w:pPr>
        <w:pStyle w:val="Heading3"/>
        <w:jc w:val="both"/>
        <w:rPr>
          <w:rFonts w:ascii="Garamond" w:hAnsi="Garamond"/>
          <w:b/>
          <w:bCs/>
          <w:i/>
          <w:iCs/>
          <w:color w:val="000000" w:themeColor="text1"/>
          <w:sz w:val="24"/>
          <w:szCs w:val="24"/>
          <w:u w:val="single"/>
        </w:rPr>
      </w:pPr>
      <w:r w:rsidRPr="0064704E">
        <w:rPr>
          <w:rFonts w:ascii="Garamond" w:hAnsi="Garamond"/>
          <w:b/>
          <w:bCs/>
          <w:i/>
          <w:iCs/>
          <w:color w:val="000000" w:themeColor="text1"/>
          <w:sz w:val="24"/>
          <w:szCs w:val="24"/>
          <w:u w:val="single"/>
        </w:rPr>
        <w:t>Value of RBP:</w:t>
      </w:r>
    </w:p>
    <w:p w14:paraId="7AF75E84" w14:textId="53FD4CE4" w:rsidR="0033619D" w:rsidRPr="007E0FFA" w:rsidRDefault="0033619D" w:rsidP="0033619D">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What is the value of RBP? This is the open market value, see section 160 IHTA 1984. Do not include any part of the value already covered by Agricultural Property Relief (“</w:t>
      </w:r>
      <w:r w:rsidRPr="0033619D">
        <w:rPr>
          <w:rFonts w:ascii="Garamond" w:hAnsi="Garamond" w:cs="Arial"/>
          <w:b/>
          <w:bCs/>
          <w:color w:val="000000" w:themeColor="text1"/>
          <w:sz w:val="24"/>
          <w:szCs w:val="24"/>
        </w:rPr>
        <w:t>APR</w:t>
      </w:r>
      <w:r>
        <w:rPr>
          <w:rFonts w:ascii="Garamond" w:hAnsi="Garamond" w:cs="Arial"/>
          <w:color w:val="000000" w:themeColor="text1"/>
          <w:sz w:val="24"/>
          <w:szCs w:val="24"/>
        </w:rPr>
        <w:t xml:space="preserve">”), see section 114 IHTA 1984. </w:t>
      </w:r>
      <w:r w:rsidR="005421CF">
        <w:rPr>
          <w:rFonts w:ascii="Garamond" w:hAnsi="Garamond" w:cs="Arial"/>
          <w:color w:val="000000" w:themeColor="text1"/>
          <w:sz w:val="24"/>
          <w:szCs w:val="24"/>
        </w:rPr>
        <w:t>Additionally:</w:t>
      </w:r>
    </w:p>
    <w:p w14:paraId="46E363E8" w14:textId="7C9FA137" w:rsidR="007E0FFA" w:rsidRPr="005421CF" w:rsidRDefault="005421CF" w:rsidP="007E0FFA">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Where we are considering a business or an interest in a business, we consider the net value (including goodwill) less liabilities, see section 110 IHTA 1984. </w:t>
      </w:r>
    </w:p>
    <w:p w14:paraId="6CD298FE" w14:textId="5185C23C" w:rsidR="005421CF" w:rsidRPr="00840504" w:rsidRDefault="00EC02A3" w:rsidP="007E0FFA">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Where we are considering shares/securities and one of the companies is carrying out a prohibited activity (see below), that company is ignored for the purposes of the valuation, see </w:t>
      </w:r>
      <w:r w:rsidR="007B13C4">
        <w:rPr>
          <w:rFonts w:ascii="Garamond" w:hAnsi="Garamond" w:cs="Arial"/>
          <w:color w:val="000000" w:themeColor="text1"/>
          <w:sz w:val="24"/>
          <w:szCs w:val="24"/>
        </w:rPr>
        <w:t xml:space="preserve">section 111 IHTA 1984. </w:t>
      </w:r>
    </w:p>
    <w:p w14:paraId="68BD6D74" w14:textId="7BC91DAF" w:rsidR="00840504" w:rsidRPr="0064704E" w:rsidRDefault="00840504" w:rsidP="007E0FFA">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There is also the restriction on the deduction of debt post Finance Act 2013 (in force from 17</w:t>
      </w:r>
      <w:r w:rsidRPr="00840504">
        <w:rPr>
          <w:rFonts w:ascii="Garamond" w:hAnsi="Garamond" w:cs="Arial"/>
          <w:color w:val="000000" w:themeColor="text1"/>
          <w:sz w:val="24"/>
          <w:szCs w:val="24"/>
          <w:vertAlign w:val="superscript"/>
        </w:rPr>
        <w:t>th</w:t>
      </w:r>
      <w:r>
        <w:rPr>
          <w:rFonts w:ascii="Garamond" w:hAnsi="Garamond" w:cs="Arial"/>
          <w:color w:val="000000" w:themeColor="text1"/>
          <w:sz w:val="24"/>
          <w:szCs w:val="24"/>
        </w:rPr>
        <w:t xml:space="preserve"> July 2013). A relevant debt is first deducted from the </w:t>
      </w:r>
      <w:r w:rsidR="00F81610">
        <w:rPr>
          <w:rFonts w:ascii="Garamond" w:hAnsi="Garamond" w:cs="Arial"/>
          <w:color w:val="000000" w:themeColor="text1"/>
          <w:sz w:val="24"/>
          <w:szCs w:val="24"/>
        </w:rPr>
        <w:t xml:space="preserve">RBP that it financed, reducing the BPR available. Only if the relevant debt exceeds that value can the debt then be applied against the chargeable assets. </w:t>
      </w:r>
    </w:p>
    <w:p w14:paraId="32D7D376" w14:textId="77777777" w:rsidR="0064704E" w:rsidRPr="0064704E" w:rsidRDefault="0064704E" w:rsidP="0064704E">
      <w:pPr>
        <w:pStyle w:val="NormalWeb"/>
        <w:ind w:left="792"/>
        <w:jc w:val="both"/>
        <w:rPr>
          <w:rFonts w:ascii="Garamond" w:hAnsi="Garamond" w:cs="Arial"/>
          <w:i/>
          <w:iCs/>
          <w:color w:val="000000" w:themeColor="text1"/>
          <w:sz w:val="24"/>
          <w:szCs w:val="24"/>
        </w:rPr>
      </w:pPr>
    </w:p>
    <w:p w14:paraId="1608F6FA" w14:textId="604C0F3E" w:rsidR="0064704E" w:rsidRPr="0064704E" w:rsidRDefault="0064704E" w:rsidP="0064704E">
      <w:pPr>
        <w:pStyle w:val="Heading3"/>
        <w:jc w:val="both"/>
        <w:rPr>
          <w:rFonts w:ascii="Garamond" w:hAnsi="Garamond"/>
          <w:b/>
          <w:bCs/>
          <w:i/>
          <w:iCs/>
          <w:color w:val="000000" w:themeColor="text1"/>
          <w:sz w:val="24"/>
          <w:szCs w:val="24"/>
          <w:u w:val="single"/>
        </w:rPr>
      </w:pPr>
      <w:r w:rsidRPr="0064704E">
        <w:rPr>
          <w:rFonts w:ascii="Garamond" w:hAnsi="Garamond"/>
          <w:b/>
          <w:bCs/>
          <w:i/>
          <w:iCs/>
          <w:color w:val="000000" w:themeColor="text1"/>
          <w:sz w:val="24"/>
          <w:szCs w:val="24"/>
          <w:u w:val="single"/>
        </w:rPr>
        <w:t>Meaning of business:</w:t>
      </w:r>
    </w:p>
    <w:p w14:paraId="5CBB0E06" w14:textId="77777777" w:rsidR="00001C69" w:rsidRPr="003C3DA0" w:rsidRDefault="00001C69" w:rsidP="00001C69">
      <w:pPr>
        <w:pStyle w:val="ListParagraph"/>
        <w:numPr>
          <w:ilvl w:val="0"/>
          <w:numId w:val="2"/>
        </w:numPr>
        <w:spacing w:before="480" w:after="0" w:line="360" w:lineRule="auto"/>
        <w:jc w:val="both"/>
        <w:rPr>
          <w:rFonts w:ascii="Garamond" w:eastAsia="Times New Roman" w:hAnsi="Garamond" w:cs="Times New Roman"/>
          <w:kern w:val="0"/>
          <w:sz w:val="24"/>
          <w:szCs w:val="24"/>
          <w:lang w:eastAsia="en-GB"/>
          <w14:ligatures w14:val="none"/>
        </w:rPr>
      </w:pPr>
      <w:r w:rsidRPr="003C3DA0">
        <w:rPr>
          <w:rFonts w:ascii="Garamond" w:eastAsia="Times New Roman" w:hAnsi="Garamond" w:cs="Times New Roman"/>
          <w:kern w:val="0"/>
          <w:sz w:val="24"/>
          <w:szCs w:val="24"/>
          <w:lang w:eastAsia="en-GB"/>
          <w14:ligatures w14:val="none"/>
        </w:rPr>
        <w:t>Section 105(1)(a) and (3) IHTA 1984 sets out that an interest in a business falls within the definition of relevant business property, unless it is the making or holding of investments:</w:t>
      </w:r>
    </w:p>
    <w:p w14:paraId="0F15DDE4" w14:textId="77777777" w:rsidR="00001C69" w:rsidRPr="003C3DA0" w:rsidRDefault="00001C69" w:rsidP="00C72E0E">
      <w:pPr>
        <w:pStyle w:val="ListParagraph"/>
        <w:spacing w:before="480" w:after="0" w:line="360" w:lineRule="auto"/>
        <w:ind w:left="360"/>
        <w:jc w:val="both"/>
        <w:rPr>
          <w:rFonts w:ascii="Garamond" w:eastAsia="Times New Roman" w:hAnsi="Garamond" w:cs="Times New Roman"/>
          <w:i/>
          <w:iCs/>
          <w:kern w:val="0"/>
          <w:sz w:val="24"/>
          <w:szCs w:val="24"/>
          <w:lang w:eastAsia="en-GB"/>
          <w14:ligatures w14:val="none"/>
        </w:rPr>
      </w:pPr>
      <w:r w:rsidRPr="003C3DA0">
        <w:rPr>
          <w:rFonts w:ascii="Garamond" w:eastAsia="Times New Roman" w:hAnsi="Garamond" w:cs="Times New Roman"/>
          <w:i/>
          <w:iCs/>
          <w:kern w:val="0"/>
          <w:sz w:val="24"/>
          <w:szCs w:val="24"/>
          <w:lang w:eastAsia="en-GB"/>
          <w14:ligatures w14:val="none"/>
        </w:rPr>
        <w:t>105.— Relevant business property.</w:t>
      </w:r>
    </w:p>
    <w:p w14:paraId="54EE21E8" w14:textId="77777777" w:rsidR="00001C69" w:rsidRPr="003C3DA0" w:rsidRDefault="00001C69" w:rsidP="00C72E0E">
      <w:pPr>
        <w:pStyle w:val="ListParagraph"/>
        <w:spacing w:before="480" w:after="0" w:line="360" w:lineRule="auto"/>
        <w:ind w:left="360"/>
        <w:jc w:val="both"/>
        <w:rPr>
          <w:rFonts w:ascii="Garamond" w:eastAsia="Times New Roman" w:hAnsi="Garamond" w:cs="Times New Roman"/>
          <w:i/>
          <w:iCs/>
          <w:kern w:val="0"/>
          <w:sz w:val="24"/>
          <w:szCs w:val="24"/>
          <w:lang w:eastAsia="en-GB"/>
          <w14:ligatures w14:val="none"/>
        </w:rPr>
      </w:pPr>
      <w:r w:rsidRPr="003C3DA0">
        <w:rPr>
          <w:rFonts w:ascii="Garamond" w:eastAsia="Times New Roman" w:hAnsi="Garamond" w:cs="Times New Roman"/>
          <w:i/>
          <w:iCs/>
          <w:kern w:val="0"/>
          <w:sz w:val="24"/>
          <w:szCs w:val="24"/>
          <w:lang w:eastAsia="en-GB"/>
          <w14:ligatures w14:val="none"/>
        </w:rPr>
        <w:t>(1)  Subject to the following provisions of this section and to sections 106, 108, 112(3) and 113 below, in this Chapter “relevant business property” means, in relation to any transfer of value,—</w:t>
      </w:r>
    </w:p>
    <w:p w14:paraId="4E97B652" w14:textId="77777777" w:rsidR="00001C69" w:rsidRPr="003C3DA0" w:rsidRDefault="00001C69" w:rsidP="00C72E0E">
      <w:pPr>
        <w:pStyle w:val="ListParagraph"/>
        <w:spacing w:before="480" w:after="0" w:line="360" w:lineRule="auto"/>
        <w:ind w:left="360"/>
        <w:jc w:val="both"/>
        <w:rPr>
          <w:rFonts w:ascii="Garamond" w:eastAsia="Times New Roman" w:hAnsi="Garamond" w:cs="Times New Roman"/>
          <w:i/>
          <w:iCs/>
          <w:kern w:val="0"/>
          <w:sz w:val="24"/>
          <w:szCs w:val="24"/>
          <w:lang w:eastAsia="en-GB"/>
          <w14:ligatures w14:val="none"/>
        </w:rPr>
      </w:pPr>
      <w:r w:rsidRPr="003C3DA0">
        <w:rPr>
          <w:rFonts w:ascii="Garamond" w:eastAsia="Times New Roman" w:hAnsi="Garamond" w:cs="Times New Roman"/>
          <w:i/>
          <w:iCs/>
          <w:kern w:val="0"/>
          <w:sz w:val="24"/>
          <w:szCs w:val="24"/>
          <w:lang w:eastAsia="en-GB"/>
          <w14:ligatures w14:val="none"/>
        </w:rPr>
        <w:t xml:space="preserve">(a)  </w:t>
      </w:r>
      <w:r w:rsidRPr="003C3DA0">
        <w:rPr>
          <w:rFonts w:ascii="Garamond" w:eastAsia="Times New Roman" w:hAnsi="Garamond" w:cs="Times New Roman"/>
          <w:i/>
          <w:iCs/>
          <w:kern w:val="0"/>
          <w:sz w:val="24"/>
          <w:szCs w:val="24"/>
          <w:u w:val="single"/>
          <w:lang w:eastAsia="en-GB"/>
          <w14:ligatures w14:val="none"/>
        </w:rPr>
        <w:t>property consisting of a business or interest in a business</w:t>
      </w:r>
      <w:r w:rsidRPr="003C3DA0">
        <w:rPr>
          <w:rFonts w:ascii="Garamond" w:eastAsia="Times New Roman" w:hAnsi="Garamond" w:cs="Times New Roman"/>
          <w:i/>
          <w:iCs/>
          <w:kern w:val="0"/>
          <w:sz w:val="24"/>
          <w:szCs w:val="24"/>
          <w:lang w:eastAsia="en-GB"/>
          <w14:ligatures w14:val="none"/>
        </w:rPr>
        <w:t>;</w:t>
      </w:r>
    </w:p>
    <w:p w14:paraId="27C255B1" w14:textId="77777777" w:rsidR="00001C69" w:rsidRPr="00001C69" w:rsidRDefault="00001C69" w:rsidP="00001C69">
      <w:pPr>
        <w:pStyle w:val="ListParagraph"/>
        <w:spacing w:before="480" w:after="0" w:line="240" w:lineRule="auto"/>
        <w:ind w:left="360"/>
        <w:jc w:val="both"/>
        <w:rPr>
          <w:rFonts w:ascii="Garamond" w:eastAsia="Times New Roman" w:hAnsi="Garamond" w:cs="Times New Roman"/>
          <w:kern w:val="0"/>
          <w:sz w:val="24"/>
          <w:szCs w:val="24"/>
          <w:lang w:eastAsia="en-GB"/>
          <w14:ligatures w14:val="none"/>
        </w:rPr>
      </w:pPr>
    </w:p>
    <w:p w14:paraId="60FAA33F" w14:textId="0341B6BF" w:rsidR="001E1A19" w:rsidRPr="005E592C" w:rsidRDefault="00B262AE" w:rsidP="008B1D3D">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HMRC’s previous position had been that </w:t>
      </w:r>
      <w:r w:rsidR="008D110B">
        <w:rPr>
          <w:rFonts w:ascii="Garamond" w:hAnsi="Garamond" w:cs="Arial"/>
          <w:color w:val="000000" w:themeColor="text1"/>
          <w:sz w:val="24"/>
          <w:szCs w:val="24"/>
        </w:rPr>
        <w:t xml:space="preserve">the property must consist of a business as a whole or a share or interest in such a business, and that transfers of individua assets were not included, whether they were included in the business or just used in the business. However, </w:t>
      </w:r>
      <w:r w:rsidR="00F11465">
        <w:rPr>
          <w:rFonts w:ascii="Garamond" w:hAnsi="Garamond" w:cs="Arial"/>
          <w:color w:val="000000" w:themeColor="text1"/>
          <w:sz w:val="24"/>
          <w:szCs w:val="24"/>
        </w:rPr>
        <w:t xml:space="preserve">the High Court held </w:t>
      </w:r>
      <w:r w:rsidR="008D110B" w:rsidRPr="00F11465">
        <w:rPr>
          <w:rFonts w:ascii="Garamond" w:hAnsi="Garamond" w:cs="Arial"/>
          <w:i/>
          <w:iCs/>
          <w:color w:val="000000" w:themeColor="text1"/>
          <w:sz w:val="24"/>
          <w:szCs w:val="24"/>
        </w:rPr>
        <w:t>HMRC v Nelson</w:t>
      </w:r>
      <w:r w:rsidR="008D110B">
        <w:rPr>
          <w:rFonts w:ascii="Garamond" w:hAnsi="Garamond" w:cs="Arial"/>
          <w:color w:val="000000" w:themeColor="text1"/>
          <w:sz w:val="24"/>
          <w:szCs w:val="24"/>
        </w:rPr>
        <w:t xml:space="preserve"> [2009] EWHC 71 (Ch) </w:t>
      </w:r>
      <w:r w:rsidR="00F11465">
        <w:rPr>
          <w:rFonts w:ascii="Garamond" w:hAnsi="Garamond" w:cs="Arial"/>
          <w:color w:val="000000" w:themeColor="text1"/>
          <w:sz w:val="24"/>
          <w:szCs w:val="24"/>
        </w:rPr>
        <w:t xml:space="preserve">that land and buildings transferred into a trust were RBP. </w:t>
      </w:r>
    </w:p>
    <w:p w14:paraId="7DF76DCE" w14:textId="283DE2F1" w:rsidR="005E592C" w:rsidRPr="004936B0" w:rsidRDefault="005E592C" w:rsidP="008B1D3D">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If</w:t>
      </w:r>
      <w:r w:rsidR="006C421C">
        <w:rPr>
          <w:rFonts w:ascii="Garamond" w:hAnsi="Garamond" w:cs="Arial"/>
          <w:color w:val="000000" w:themeColor="text1"/>
          <w:sz w:val="24"/>
          <w:szCs w:val="24"/>
        </w:rPr>
        <w:t>,</w:t>
      </w:r>
      <w:r>
        <w:rPr>
          <w:rFonts w:ascii="Garamond" w:hAnsi="Garamond" w:cs="Arial"/>
          <w:color w:val="000000" w:themeColor="text1"/>
          <w:sz w:val="24"/>
          <w:szCs w:val="24"/>
        </w:rPr>
        <w:t xml:space="preserve"> however</w:t>
      </w:r>
      <w:r w:rsidR="006C421C">
        <w:rPr>
          <w:rFonts w:ascii="Garamond" w:hAnsi="Garamond" w:cs="Arial"/>
          <w:color w:val="000000" w:themeColor="text1"/>
          <w:sz w:val="24"/>
          <w:szCs w:val="24"/>
        </w:rPr>
        <w:t>,</w:t>
      </w:r>
      <w:r>
        <w:rPr>
          <w:rFonts w:ascii="Garamond" w:hAnsi="Garamond" w:cs="Arial"/>
          <w:color w:val="000000" w:themeColor="text1"/>
          <w:sz w:val="24"/>
          <w:szCs w:val="24"/>
        </w:rPr>
        <w:t xml:space="preserve"> the transferor owned an asset used in another person’s business, it is not within section 105(1)(a), nor any of the other paragraphs in section 105(1) IHTA 1984. </w:t>
      </w:r>
      <w:r w:rsidR="006C421C">
        <w:rPr>
          <w:rFonts w:ascii="Garamond" w:hAnsi="Garamond" w:cs="Arial"/>
          <w:color w:val="000000" w:themeColor="text1"/>
          <w:sz w:val="24"/>
          <w:szCs w:val="24"/>
        </w:rPr>
        <w:t xml:space="preserve">The example provided in HMRC’s Manual at IHTM25152 sets out that if Gerald’s estate includes property occupied by Sanjay for the purposes of Sanjay’s business, Gerald has no interest in the business and therefore the property cannot qualify for BPR on Gerald’s death. </w:t>
      </w:r>
    </w:p>
    <w:p w14:paraId="17F3235E" w14:textId="09C29EE5" w:rsidR="004936B0" w:rsidRPr="00480300" w:rsidRDefault="004936B0" w:rsidP="008B1D3D">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What is a “business” for these purposes?</w:t>
      </w:r>
    </w:p>
    <w:p w14:paraId="152C4666" w14:textId="4F9387C0" w:rsidR="0052754F" w:rsidRPr="0052754F" w:rsidRDefault="00850D48" w:rsidP="0052754F">
      <w:pPr>
        <w:pStyle w:val="NormalWeb"/>
        <w:numPr>
          <w:ilvl w:val="1"/>
          <w:numId w:val="2"/>
        </w:numPr>
        <w:jc w:val="both"/>
        <w:rPr>
          <w:rFonts w:ascii="Garamond" w:hAnsi="Garamond" w:cs="Arial"/>
          <w:color w:val="000000" w:themeColor="text1"/>
          <w:sz w:val="24"/>
          <w:szCs w:val="24"/>
        </w:rPr>
      </w:pPr>
      <w:r>
        <w:rPr>
          <w:rFonts w:ascii="Garamond" w:hAnsi="Garamond" w:cs="Arial"/>
          <w:color w:val="000000" w:themeColor="text1"/>
          <w:sz w:val="24"/>
          <w:szCs w:val="24"/>
        </w:rPr>
        <w:lastRenderedPageBreak/>
        <w:t xml:space="preserve">Usually reasonably clear: but the definition extends to </w:t>
      </w:r>
      <w:r w:rsidR="00F10320">
        <w:rPr>
          <w:rFonts w:ascii="Garamond" w:hAnsi="Garamond" w:cs="Arial"/>
          <w:color w:val="000000" w:themeColor="text1"/>
          <w:sz w:val="24"/>
          <w:szCs w:val="24"/>
        </w:rPr>
        <w:t>trades, professions and vocations</w:t>
      </w:r>
      <w:r w:rsidR="006C421C">
        <w:rPr>
          <w:rFonts w:ascii="Garamond" w:hAnsi="Garamond" w:cs="Arial"/>
          <w:color w:val="000000" w:themeColor="text1"/>
          <w:sz w:val="24"/>
          <w:szCs w:val="24"/>
        </w:rPr>
        <w:t xml:space="preserve"> (what about artists?)</w:t>
      </w:r>
      <w:r w:rsidR="0052754F">
        <w:rPr>
          <w:rFonts w:ascii="Garamond" w:hAnsi="Garamond" w:cs="Arial"/>
          <w:color w:val="000000" w:themeColor="text1"/>
          <w:sz w:val="24"/>
          <w:szCs w:val="24"/>
        </w:rPr>
        <w:t xml:space="preserve">. </w:t>
      </w:r>
      <w:r w:rsidR="0052754F" w:rsidRPr="0052754F">
        <w:rPr>
          <w:rFonts w:ascii="Garamond" w:hAnsi="Garamond" w:cs="Arial"/>
          <w:color w:val="000000" w:themeColor="text1"/>
          <w:sz w:val="24"/>
          <w:szCs w:val="24"/>
        </w:rPr>
        <w:t xml:space="preserve">Section 103(3) of </w:t>
      </w:r>
      <w:r w:rsidR="006C421C">
        <w:rPr>
          <w:rFonts w:ascii="Garamond" w:hAnsi="Garamond" w:cs="Arial"/>
          <w:color w:val="000000" w:themeColor="text1"/>
          <w:sz w:val="24"/>
          <w:szCs w:val="24"/>
        </w:rPr>
        <w:t>IHTA 1984</w:t>
      </w:r>
      <w:r w:rsidR="0052754F" w:rsidRPr="0052754F">
        <w:rPr>
          <w:rFonts w:ascii="Garamond" w:hAnsi="Garamond" w:cs="Arial"/>
          <w:color w:val="000000" w:themeColor="text1"/>
          <w:sz w:val="24"/>
          <w:szCs w:val="24"/>
        </w:rPr>
        <w:t xml:space="preserve"> sets out what the word “business” includes for the purposes of the relief, but does not expressly define it:</w:t>
      </w:r>
    </w:p>
    <w:p w14:paraId="02B52D1A" w14:textId="08AC219F" w:rsidR="00850D48" w:rsidRPr="0052754F" w:rsidRDefault="0052754F" w:rsidP="0052754F">
      <w:pPr>
        <w:pStyle w:val="NormalWeb"/>
        <w:ind w:left="792"/>
        <w:jc w:val="both"/>
        <w:rPr>
          <w:rFonts w:ascii="Garamond" w:hAnsi="Garamond" w:cs="Arial"/>
          <w:i/>
          <w:iCs/>
          <w:color w:val="000000" w:themeColor="text1"/>
          <w:sz w:val="24"/>
          <w:szCs w:val="24"/>
        </w:rPr>
      </w:pPr>
      <w:r w:rsidRPr="0052754F">
        <w:rPr>
          <w:rFonts w:ascii="Garamond" w:hAnsi="Garamond" w:cs="Arial"/>
          <w:i/>
          <w:iCs/>
          <w:color w:val="000000" w:themeColor="text1"/>
          <w:sz w:val="24"/>
          <w:szCs w:val="24"/>
        </w:rPr>
        <w:t xml:space="preserve">“(3) In this Chapter “business” includes a business carried on in the exercise of a profession or vocation but does not include a business carried on otherwise than for gain.” </w:t>
      </w:r>
    </w:p>
    <w:p w14:paraId="32F03525" w14:textId="79245A9D" w:rsidR="00480300" w:rsidRPr="00850D48" w:rsidRDefault="007A3863" w:rsidP="00480300">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Pre 1</w:t>
      </w:r>
      <w:r w:rsidRPr="007A3863">
        <w:rPr>
          <w:rFonts w:ascii="Garamond" w:hAnsi="Garamond" w:cs="Arial"/>
          <w:color w:val="000000" w:themeColor="text1"/>
          <w:sz w:val="24"/>
          <w:szCs w:val="24"/>
          <w:vertAlign w:val="superscript"/>
        </w:rPr>
        <w:t>st</w:t>
      </w:r>
      <w:r>
        <w:rPr>
          <w:rFonts w:ascii="Garamond" w:hAnsi="Garamond" w:cs="Arial"/>
          <w:color w:val="000000" w:themeColor="text1"/>
          <w:sz w:val="24"/>
          <w:szCs w:val="24"/>
        </w:rPr>
        <w:t xml:space="preserve"> June 2022,</w:t>
      </w:r>
      <w:r w:rsidR="00480300">
        <w:rPr>
          <w:rFonts w:ascii="Garamond" w:hAnsi="Garamond" w:cs="Arial"/>
          <w:color w:val="000000" w:themeColor="text1"/>
          <w:sz w:val="24"/>
          <w:szCs w:val="24"/>
        </w:rPr>
        <w:t xml:space="preserve"> HMRC took </w:t>
      </w:r>
      <w:r>
        <w:rPr>
          <w:rFonts w:ascii="Garamond" w:hAnsi="Garamond" w:cs="Arial"/>
          <w:color w:val="000000" w:themeColor="text1"/>
          <w:sz w:val="24"/>
          <w:szCs w:val="24"/>
        </w:rPr>
        <w:t xml:space="preserve">its approach from the VAT case </w:t>
      </w:r>
      <w:r w:rsidR="006D2CAD" w:rsidRPr="00850D48">
        <w:rPr>
          <w:rFonts w:ascii="Garamond" w:hAnsi="Garamond" w:cs="Arial"/>
          <w:i/>
          <w:iCs/>
          <w:color w:val="000000" w:themeColor="text1"/>
          <w:sz w:val="24"/>
          <w:szCs w:val="24"/>
        </w:rPr>
        <w:t>HMRC v Fisher</w:t>
      </w:r>
      <w:r w:rsidR="006D2CAD">
        <w:rPr>
          <w:rFonts w:ascii="Garamond" w:hAnsi="Garamond" w:cs="Arial"/>
          <w:color w:val="000000" w:themeColor="text1"/>
          <w:sz w:val="24"/>
          <w:szCs w:val="24"/>
        </w:rPr>
        <w:t xml:space="preserve"> </w:t>
      </w:r>
      <w:r w:rsidR="006D2CAD" w:rsidRPr="006D2CAD">
        <w:rPr>
          <w:rFonts w:ascii="Garamond" w:hAnsi="Garamond" w:cs="Arial"/>
          <w:color w:val="000000" w:themeColor="text1"/>
          <w:sz w:val="24"/>
          <w:szCs w:val="24"/>
        </w:rPr>
        <w:t>[1981] STC 238</w:t>
      </w:r>
      <w:r w:rsidR="006D2CAD">
        <w:rPr>
          <w:rFonts w:ascii="Garamond" w:hAnsi="Garamond" w:cs="Arial"/>
          <w:color w:val="000000" w:themeColor="text1"/>
          <w:sz w:val="24"/>
          <w:szCs w:val="24"/>
        </w:rPr>
        <w:t xml:space="preserve">, looking at whether there </w:t>
      </w:r>
      <w:r w:rsidR="00533F30">
        <w:rPr>
          <w:rFonts w:ascii="Garamond" w:hAnsi="Garamond" w:cs="Arial"/>
          <w:color w:val="000000" w:themeColor="text1"/>
          <w:sz w:val="24"/>
          <w:szCs w:val="24"/>
        </w:rPr>
        <w:t xml:space="preserve">was a serious undertaking earnestly pursued, reasonable continuity, supplies made, </w:t>
      </w:r>
      <w:r w:rsidR="00850D48">
        <w:rPr>
          <w:rFonts w:ascii="Garamond" w:hAnsi="Garamond" w:cs="Arial"/>
          <w:color w:val="000000" w:themeColor="text1"/>
          <w:sz w:val="24"/>
          <w:szCs w:val="24"/>
        </w:rPr>
        <w:t xml:space="preserve">which was conducted in a regular manner, for consideration, and of a kind which individuals generally seek to profit from. </w:t>
      </w:r>
    </w:p>
    <w:p w14:paraId="42E227F9" w14:textId="2E5F176E" w:rsidR="00850D48" w:rsidRPr="0064704E" w:rsidRDefault="00F10320" w:rsidP="00480300">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Post 1</w:t>
      </w:r>
      <w:r w:rsidRPr="00F10320">
        <w:rPr>
          <w:rFonts w:ascii="Garamond" w:hAnsi="Garamond" w:cs="Arial"/>
          <w:color w:val="000000" w:themeColor="text1"/>
          <w:sz w:val="24"/>
          <w:szCs w:val="24"/>
          <w:vertAlign w:val="superscript"/>
        </w:rPr>
        <w:t>st</w:t>
      </w:r>
      <w:r>
        <w:rPr>
          <w:rFonts w:ascii="Garamond" w:hAnsi="Garamond" w:cs="Arial"/>
          <w:color w:val="000000" w:themeColor="text1"/>
          <w:sz w:val="24"/>
          <w:szCs w:val="24"/>
        </w:rPr>
        <w:t xml:space="preserve"> June 2022, HMRC consider the test to be </w:t>
      </w:r>
      <w:r w:rsidR="00FF619A">
        <w:rPr>
          <w:rFonts w:ascii="Garamond" w:hAnsi="Garamond" w:cs="Arial"/>
          <w:color w:val="000000" w:themeColor="text1"/>
          <w:sz w:val="24"/>
          <w:szCs w:val="24"/>
        </w:rPr>
        <w:t xml:space="preserve">as set out in its Customs Brief 10 (2022), which requires considering whether the activity is a supply of goods or services for consideration, </w:t>
      </w:r>
      <w:r w:rsidR="00952380">
        <w:rPr>
          <w:rFonts w:ascii="Garamond" w:hAnsi="Garamond" w:cs="Arial"/>
          <w:color w:val="000000" w:themeColor="text1"/>
          <w:sz w:val="24"/>
          <w:szCs w:val="24"/>
        </w:rPr>
        <w:t xml:space="preserve">and whether the supply is made for the purpose of obtaining income therefrom. </w:t>
      </w:r>
    </w:p>
    <w:p w14:paraId="3A46DFAC" w14:textId="77777777" w:rsidR="0064704E" w:rsidRPr="0064704E" w:rsidRDefault="0064704E" w:rsidP="0064704E">
      <w:pPr>
        <w:pStyle w:val="NormalWeb"/>
        <w:ind w:left="792"/>
        <w:jc w:val="both"/>
        <w:rPr>
          <w:rFonts w:ascii="Garamond" w:hAnsi="Garamond" w:cs="Arial"/>
          <w:i/>
          <w:iCs/>
          <w:color w:val="000000" w:themeColor="text1"/>
          <w:sz w:val="24"/>
          <w:szCs w:val="24"/>
        </w:rPr>
      </w:pPr>
    </w:p>
    <w:p w14:paraId="2C4C28B2" w14:textId="0A4190F9" w:rsidR="0064704E" w:rsidRPr="0064704E" w:rsidRDefault="0064704E" w:rsidP="0064704E">
      <w:pPr>
        <w:pStyle w:val="Heading3"/>
        <w:jc w:val="both"/>
        <w:rPr>
          <w:rFonts w:ascii="Garamond" w:hAnsi="Garamond"/>
          <w:b/>
          <w:bCs/>
          <w:i/>
          <w:iCs/>
          <w:color w:val="000000" w:themeColor="text1"/>
          <w:sz w:val="24"/>
          <w:szCs w:val="24"/>
          <w:u w:val="single"/>
        </w:rPr>
      </w:pPr>
      <w:r w:rsidRPr="0064704E">
        <w:rPr>
          <w:rFonts w:ascii="Garamond" w:hAnsi="Garamond"/>
          <w:b/>
          <w:bCs/>
          <w:i/>
          <w:iCs/>
          <w:color w:val="000000" w:themeColor="text1"/>
          <w:sz w:val="24"/>
          <w:szCs w:val="24"/>
          <w:u w:val="single"/>
        </w:rPr>
        <w:t xml:space="preserve">Minimum ownership requirement: </w:t>
      </w:r>
    </w:p>
    <w:p w14:paraId="1243FA9C" w14:textId="44C98030" w:rsidR="00952380" w:rsidRPr="007D1B8E" w:rsidRDefault="007D1B8E" w:rsidP="00952380">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There is a minimum ownership requirement: the property must have been owned by the transferor throughout the 2 year period leading up the transfer under section 106 IHTA 1984. </w:t>
      </w:r>
    </w:p>
    <w:p w14:paraId="31BC88B3" w14:textId="7E015BB9" w:rsidR="007D1B8E" w:rsidRPr="007D1B8E" w:rsidRDefault="007D1B8E" w:rsidP="00952380">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This can be relaxed in certain circumstances, i.e.:</w:t>
      </w:r>
    </w:p>
    <w:p w14:paraId="56DCCA11" w14:textId="5FE6FC9E" w:rsidR="007D1B8E" w:rsidRPr="00DB5FA7" w:rsidRDefault="007D1B8E" w:rsidP="007D1B8E">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Transfers between spouses on death</w:t>
      </w:r>
      <w:r w:rsidR="00DB5FA7">
        <w:rPr>
          <w:rFonts w:ascii="Garamond" w:hAnsi="Garamond" w:cs="Arial"/>
          <w:color w:val="000000" w:themeColor="text1"/>
          <w:sz w:val="24"/>
          <w:szCs w:val="24"/>
        </w:rPr>
        <w:t xml:space="preserve"> (the surviving spouse gets the deceased spouse’s ownership period</w:t>
      </w:r>
      <w:r w:rsidR="007A3ECF">
        <w:rPr>
          <w:rFonts w:ascii="Garamond" w:hAnsi="Garamond" w:cs="Arial"/>
          <w:color w:val="000000" w:themeColor="text1"/>
          <w:sz w:val="24"/>
          <w:szCs w:val="24"/>
        </w:rPr>
        <w:t>, see section 108 IHTA 1984</w:t>
      </w:r>
      <w:r w:rsidR="00DB5FA7">
        <w:rPr>
          <w:rFonts w:ascii="Garamond" w:hAnsi="Garamond" w:cs="Arial"/>
          <w:color w:val="000000" w:themeColor="text1"/>
          <w:sz w:val="24"/>
          <w:szCs w:val="24"/>
        </w:rPr>
        <w:t>);</w:t>
      </w:r>
    </w:p>
    <w:p w14:paraId="0683BAD3" w14:textId="77777777" w:rsidR="007A3ECF" w:rsidRPr="007A3ECF" w:rsidRDefault="00DB5FA7" w:rsidP="007D1B8E">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Quick succession (i.e. two transfers within a 2 year period)</w:t>
      </w:r>
      <w:r w:rsidR="007A3ECF">
        <w:rPr>
          <w:rFonts w:ascii="Garamond" w:hAnsi="Garamond" w:cs="Arial"/>
          <w:color w:val="000000" w:themeColor="text1"/>
          <w:sz w:val="24"/>
          <w:szCs w:val="24"/>
        </w:rPr>
        <w:t>, the second transfer counts if the property qualified for BPR at the time of the transfer, see section 109 IHTA 1984);</w:t>
      </w:r>
    </w:p>
    <w:p w14:paraId="2A97007E" w14:textId="77777777" w:rsidR="007A3ECF" w:rsidRPr="007A3ECF" w:rsidRDefault="007A3ECF" w:rsidP="007D1B8E">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Replacement property, i.e. where RBP is replaced by new property but it is not yet owned by the transferor for 2 years and the new property is capable of being RBP. </w:t>
      </w:r>
    </w:p>
    <w:p w14:paraId="3B7DE4D3" w14:textId="77777777" w:rsidR="003F6059" w:rsidRPr="003F6059" w:rsidRDefault="005E2593"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Where the property is held in a qualifying interest in possession trust, the beneficiary (or life tenant) must satisfy the minimum ownership requirement, but where it is a relevant property trust, the trustees have to satisfy the minimum ownership requirement. </w:t>
      </w:r>
    </w:p>
    <w:p w14:paraId="4A8BBE8A" w14:textId="77777777" w:rsidR="003F6059" w:rsidRPr="0064704E" w:rsidRDefault="003F6059"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If a qualifying interest in possession trust comes to an end and RBP continues to be held in trust, the ownership period begins again (either via the trustees or the successor life tenant). </w:t>
      </w:r>
    </w:p>
    <w:p w14:paraId="4B3C24A7" w14:textId="77777777" w:rsidR="0064704E" w:rsidRDefault="0064704E" w:rsidP="0064704E">
      <w:pPr>
        <w:pStyle w:val="NormalWeb"/>
        <w:jc w:val="both"/>
        <w:rPr>
          <w:rFonts w:ascii="Garamond" w:hAnsi="Garamond" w:cs="Arial"/>
          <w:color w:val="000000" w:themeColor="text1"/>
          <w:sz w:val="24"/>
          <w:szCs w:val="24"/>
        </w:rPr>
      </w:pPr>
    </w:p>
    <w:p w14:paraId="6F13CCAF" w14:textId="2253C5D2" w:rsidR="0064704E" w:rsidRPr="0064704E" w:rsidRDefault="0064704E" w:rsidP="0064704E">
      <w:pPr>
        <w:pStyle w:val="Heading3"/>
        <w:jc w:val="both"/>
        <w:rPr>
          <w:rFonts w:ascii="Garamond" w:hAnsi="Garamond"/>
          <w:b/>
          <w:bCs/>
          <w:i/>
          <w:iCs/>
          <w:color w:val="000000" w:themeColor="text1"/>
          <w:sz w:val="24"/>
          <w:szCs w:val="24"/>
          <w:u w:val="single"/>
        </w:rPr>
      </w:pPr>
      <w:r w:rsidRPr="0064704E">
        <w:rPr>
          <w:rFonts w:ascii="Garamond" w:hAnsi="Garamond"/>
          <w:b/>
          <w:bCs/>
          <w:i/>
          <w:iCs/>
          <w:color w:val="000000" w:themeColor="text1"/>
          <w:sz w:val="24"/>
          <w:szCs w:val="24"/>
          <w:u w:val="single"/>
        </w:rPr>
        <w:t>Prohibited activities</w:t>
      </w:r>
      <w:r>
        <w:rPr>
          <w:rFonts w:ascii="Garamond" w:hAnsi="Garamond"/>
          <w:b/>
          <w:bCs/>
          <w:i/>
          <w:iCs/>
          <w:color w:val="000000" w:themeColor="text1"/>
          <w:sz w:val="24"/>
          <w:szCs w:val="24"/>
          <w:u w:val="single"/>
        </w:rPr>
        <w:t>:</w:t>
      </w:r>
      <w:r w:rsidRPr="0064704E">
        <w:rPr>
          <w:rFonts w:ascii="Garamond" w:hAnsi="Garamond"/>
          <w:b/>
          <w:bCs/>
          <w:i/>
          <w:iCs/>
          <w:color w:val="000000" w:themeColor="text1"/>
          <w:sz w:val="24"/>
          <w:szCs w:val="24"/>
          <w:u w:val="single"/>
        </w:rPr>
        <w:t xml:space="preserve"> </w:t>
      </w:r>
    </w:p>
    <w:p w14:paraId="09E47101" w14:textId="2974620D" w:rsidR="00DB5FA7" w:rsidRPr="0066014A" w:rsidRDefault="007A3ECF"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 </w:t>
      </w:r>
      <w:r w:rsidR="00DE22A5">
        <w:rPr>
          <w:rFonts w:ascii="Garamond" w:hAnsi="Garamond" w:cs="Arial"/>
          <w:color w:val="000000" w:themeColor="text1"/>
          <w:sz w:val="24"/>
          <w:szCs w:val="24"/>
        </w:rPr>
        <w:t>Section 105(3) IHTA 1984 prohibits the following categories from qualifying for relief:</w:t>
      </w:r>
    </w:p>
    <w:p w14:paraId="3CAA0237" w14:textId="25481A89" w:rsidR="001C1590" w:rsidRPr="0066014A" w:rsidRDefault="0066014A" w:rsidP="00EC7768">
      <w:pPr>
        <w:pStyle w:val="NormalWeb"/>
        <w:spacing w:line="360" w:lineRule="auto"/>
        <w:ind w:left="360"/>
        <w:jc w:val="both"/>
        <w:rPr>
          <w:rFonts w:ascii="Garamond" w:hAnsi="Garamond" w:cs="Arial"/>
          <w:color w:val="000000" w:themeColor="text1"/>
          <w:sz w:val="24"/>
          <w:szCs w:val="24"/>
        </w:rPr>
      </w:pPr>
      <w:r>
        <w:rPr>
          <w:rFonts w:ascii="Garamond" w:hAnsi="Garamond" w:cs="Arial"/>
          <w:i/>
          <w:iCs/>
          <w:color w:val="000000" w:themeColor="text1"/>
          <w:sz w:val="24"/>
          <w:szCs w:val="24"/>
        </w:rPr>
        <w:t>“</w:t>
      </w:r>
      <w:r w:rsidRPr="0066014A">
        <w:rPr>
          <w:rFonts w:ascii="Garamond" w:hAnsi="Garamond" w:cs="Arial"/>
          <w:i/>
          <w:iCs/>
          <w:color w:val="000000" w:themeColor="text1"/>
          <w:sz w:val="24"/>
          <w:szCs w:val="24"/>
        </w:rPr>
        <w:t xml:space="preserve">(3) </w:t>
      </w:r>
      <w:r>
        <w:rPr>
          <w:rFonts w:ascii="Garamond" w:hAnsi="Garamond" w:cs="Arial"/>
          <w:i/>
          <w:iCs/>
          <w:color w:val="000000" w:themeColor="text1"/>
          <w:sz w:val="24"/>
          <w:szCs w:val="24"/>
        </w:rPr>
        <w:t>a</w:t>
      </w:r>
      <w:r w:rsidRPr="0066014A">
        <w:rPr>
          <w:rFonts w:ascii="Garamond" w:hAnsi="Garamond" w:cs="Arial"/>
          <w:i/>
          <w:iCs/>
          <w:color w:val="000000" w:themeColor="text1"/>
          <w:sz w:val="24"/>
          <w:szCs w:val="24"/>
        </w:rPr>
        <w:t xml:space="preserve"> business or interest in a business, or shares in or securities of a company, are not relevant business property if the business or, as the case may be, the business carried on by the company consists </w:t>
      </w:r>
      <w:r w:rsidRPr="0066014A">
        <w:rPr>
          <w:rFonts w:ascii="Garamond" w:hAnsi="Garamond" w:cs="Arial"/>
          <w:i/>
          <w:iCs/>
          <w:color w:val="000000" w:themeColor="text1"/>
          <w:sz w:val="24"/>
          <w:szCs w:val="24"/>
          <w:u w:val="single"/>
        </w:rPr>
        <w:t xml:space="preserve">wholly or mainly </w:t>
      </w:r>
      <w:r w:rsidRPr="0066014A">
        <w:rPr>
          <w:rFonts w:ascii="Garamond" w:hAnsi="Garamond" w:cs="Arial"/>
          <w:i/>
          <w:iCs/>
          <w:color w:val="000000" w:themeColor="text1"/>
          <w:sz w:val="24"/>
          <w:szCs w:val="24"/>
          <w:u w:val="single"/>
        </w:rPr>
        <w:lastRenderedPageBreak/>
        <w:t>of one or more of the following</w:t>
      </w:r>
      <w:r w:rsidRPr="0066014A">
        <w:rPr>
          <w:rFonts w:ascii="Garamond" w:hAnsi="Garamond" w:cs="Arial"/>
          <w:i/>
          <w:iCs/>
          <w:color w:val="000000" w:themeColor="text1"/>
          <w:sz w:val="24"/>
          <w:szCs w:val="24"/>
        </w:rPr>
        <w:t>, that is to say,</w:t>
      </w:r>
      <w:r w:rsidRPr="0066014A">
        <w:rPr>
          <w:rFonts w:ascii="Garamond" w:hAnsi="Garamond" w:cs="Arial"/>
          <w:i/>
          <w:iCs/>
          <w:color w:val="000000" w:themeColor="text1"/>
          <w:sz w:val="24"/>
          <w:szCs w:val="24"/>
          <w:u w:val="single"/>
        </w:rPr>
        <w:t xml:space="preserve"> dealing in securities, stocks or shares, land or buildings or making or holding investments</w:t>
      </w:r>
      <w:r w:rsidRPr="0066014A">
        <w:rPr>
          <w:rFonts w:ascii="Garamond" w:hAnsi="Garamond" w:cs="Arial"/>
          <w:i/>
          <w:iCs/>
          <w:color w:val="000000" w:themeColor="text1"/>
          <w:sz w:val="24"/>
          <w:szCs w:val="24"/>
        </w:rPr>
        <w:t>.</w:t>
      </w:r>
      <w:r>
        <w:rPr>
          <w:rFonts w:ascii="Garamond" w:hAnsi="Garamond" w:cs="Arial"/>
          <w:i/>
          <w:iCs/>
          <w:color w:val="000000" w:themeColor="text1"/>
          <w:sz w:val="24"/>
          <w:szCs w:val="24"/>
        </w:rPr>
        <w:t xml:space="preserve">” </w:t>
      </w:r>
      <w:r>
        <w:rPr>
          <w:rFonts w:ascii="Garamond" w:hAnsi="Garamond" w:cs="Arial"/>
          <w:color w:val="000000" w:themeColor="text1"/>
          <w:sz w:val="24"/>
          <w:szCs w:val="24"/>
        </w:rPr>
        <w:t xml:space="preserve">(Emphasis added). </w:t>
      </w:r>
    </w:p>
    <w:p w14:paraId="512E1CB5" w14:textId="7695C006" w:rsidR="00EC7768" w:rsidRPr="00EC7768" w:rsidRDefault="00EC7768"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Assets used for personal use obviously do not qualify even if held by the business, see section 112(2) IHTA 1984. </w:t>
      </w:r>
      <w:r w:rsidR="0064704E">
        <w:rPr>
          <w:rFonts w:ascii="Garamond" w:hAnsi="Garamond" w:cs="Arial"/>
          <w:color w:val="000000" w:themeColor="text1"/>
          <w:sz w:val="24"/>
          <w:szCs w:val="24"/>
        </w:rPr>
        <w:t xml:space="preserve">Excess cash is also subject to similar issues and is likely to be considered by HMRC to be an excepted asset. </w:t>
      </w:r>
    </w:p>
    <w:p w14:paraId="60D4979D" w14:textId="5A2ED1A9" w:rsidR="0007030E" w:rsidRPr="005A2DD4" w:rsidRDefault="0007030E"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This does not however prevent the following </w:t>
      </w:r>
      <w:r w:rsidR="005A2DD4">
        <w:rPr>
          <w:rFonts w:ascii="Garamond" w:hAnsi="Garamond" w:cs="Arial"/>
          <w:color w:val="000000" w:themeColor="text1"/>
          <w:sz w:val="24"/>
          <w:szCs w:val="24"/>
        </w:rPr>
        <w:t>activities from being capable of qualifying for BPR:</w:t>
      </w:r>
    </w:p>
    <w:p w14:paraId="7D77D977" w14:textId="7DA22808" w:rsidR="005A2DD4" w:rsidRPr="00872D9B" w:rsidRDefault="005A2DD4" w:rsidP="005A2DD4">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Property developers. Holding land as an investment will not qualify</w:t>
      </w:r>
      <w:r w:rsidR="005934A2">
        <w:rPr>
          <w:rFonts w:ascii="Garamond" w:hAnsi="Garamond" w:cs="Arial"/>
          <w:color w:val="000000" w:themeColor="text1"/>
          <w:sz w:val="24"/>
          <w:szCs w:val="24"/>
        </w:rPr>
        <w:t xml:space="preserve"> (and a property letting business is similarly going to be in difficulty)</w:t>
      </w:r>
      <w:r>
        <w:rPr>
          <w:rFonts w:ascii="Garamond" w:hAnsi="Garamond" w:cs="Arial"/>
          <w:color w:val="000000" w:themeColor="text1"/>
          <w:sz w:val="24"/>
          <w:szCs w:val="24"/>
        </w:rPr>
        <w:t xml:space="preserve">, however, businesses which actively develop land </w:t>
      </w:r>
      <w:r w:rsidR="005934A2">
        <w:rPr>
          <w:rFonts w:ascii="Garamond" w:hAnsi="Garamond" w:cs="Arial"/>
          <w:color w:val="000000" w:themeColor="text1"/>
          <w:sz w:val="24"/>
          <w:szCs w:val="24"/>
        </w:rPr>
        <w:t xml:space="preserve">can. Things to consider are planning permission, whether the properties have been redeveloped, </w:t>
      </w:r>
      <w:r w:rsidR="00872D9B">
        <w:rPr>
          <w:rFonts w:ascii="Garamond" w:hAnsi="Garamond" w:cs="Arial"/>
          <w:color w:val="000000" w:themeColor="text1"/>
          <w:sz w:val="24"/>
          <w:szCs w:val="24"/>
        </w:rPr>
        <w:t xml:space="preserve">what the activities of the directors are, etc. </w:t>
      </w:r>
    </w:p>
    <w:p w14:paraId="3BBF5449" w14:textId="7678B6B6" w:rsidR="00872D9B" w:rsidRPr="0007030E" w:rsidRDefault="00872D9B" w:rsidP="005A2DD4">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Holding companies. A company </w:t>
      </w:r>
      <w:r w:rsidR="00362409">
        <w:rPr>
          <w:rFonts w:ascii="Garamond" w:hAnsi="Garamond" w:cs="Arial"/>
          <w:color w:val="000000" w:themeColor="text1"/>
          <w:sz w:val="24"/>
          <w:szCs w:val="24"/>
        </w:rPr>
        <w:t xml:space="preserve">whose business is wholly or mainly holding other companies does not fall foul of the test. </w:t>
      </w:r>
    </w:p>
    <w:p w14:paraId="37D33C01" w14:textId="67FC9B09" w:rsidR="00DE22A5" w:rsidRPr="00577A7C" w:rsidRDefault="0066014A"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What does “wholly or mainly” mean in this context?</w:t>
      </w:r>
    </w:p>
    <w:p w14:paraId="1155C38E" w14:textId="170E865B" w:rsidR="00577A7C" w:rsidRDefault="00FB4184" w:rsidP="00577A7C">
      <w:pPr>
        <w:pStyle w:val="NormalWeb"/>
        <w:numPr>
          <w:ilvl w:val="1"/>
          <w:numId w:val="2"/>
        </w:numPr>
        <w:jc w:val="both"/>
        <w:rPr>
          <w:rFonts w:ascii="Garamond" w:hAnsi="Garamond" w:cs="Arial"/>
          <w:color w:val="000000" w:themeColor="text1"/>
          <w:sz w:val="24"/>
          <w:szCs w:val="24"/>
        </w:rPr>
      </w:pPr>
      <w:r w:rsidRPr="00FB4184">
        <w:rPr>
          <w:rFonts w:ascii="Garamond" w:hAnsi="Garamond" w:cs="Arial"/>
          <w:i/>
          <w:iCs/>
          <w:color w:val="000000" w:themeColor="text1"/>
          <w:sz w:val="24"/>
          <w:szCs w:val="24"/>
        </w:rPr>
        <w:t xml:space="preserve">HMRC v Brander </w:t>
      </w:r>
      <w:r w:rsidRPr="00FB4184">
        <w:rPr>
          <w:rFonts w:ascii="Garamond" w:hAnsi="Garamond" w:cs="Arial"/>
          <w:color w:val="000000" w:themeColor="text1"/>
          <w:sz w:val="24"/>
          <w:szCs w:val="24"/>
        </w:rPr>
        <w:t>[2010] UKUT 300 (TCC)</w:t>
      </w:r>
      <w:r>
        <w:rPr>
          <w:rFonts w:ascii="Garamond" w:hAnsi="Garamond" w:cs="Arial"/>
          <w:color w:val="000000" w:themeColor="text1"/>
          <w:sz w:val="24"/>
          <w:szCs w:val="24"/>
        </w:rPr>
        <w:t xml:space="preserve">: </w:t>
      </w:r>
      <w:r w:rsidR="00A13A7D" w:rsidRPr="00A13A7D">
        <w:rPr>
          <w:rFonts w:ascii="Garamond" w:hAnsi="Garamond" w:cs="Arial"/>
          <w:color w:val="000000" w:themeColor="text1"/>
          <w:sz w:val="24"/>
          <w:szCs w:val="24"/>
        </w:rPr>
        <w:t xml:space="preserve">Whether a business consisted wholly or mainly of making or holding investments was a question of fact for the decision-maker, </w:t>
      </w:r>
      <w:r w:rsidR="00A13A7D" w:rsidRPr="00A13A7D">
        <w:rPr>
          <w:rFonts w:ascii="Garamond" w:hAnsi="Garamond" w:cs="Arial"/>
          <w:i/>
          <w:iCs/>
          <w:color w:val="000000" w:themeColor="text1"/>
          <w:sz w:val="24"/>
          <w:szCs w:val="24"/>
        </w:rPr>
        <w:t>HMRC v George</w:t>
      </w:r>
      <w:r w:rsidR="00A13A7D" w:rsidRPr="00A13A7D">
        <w:rPr>
          <w:rFonts w:ascii="Garamond" w:hAnsi="Garamond" w:cs="Arial"/>
          <w:color w:val="000000" w:themeColor="text1"/>
          <w:sz w:val="24"/>
          <w:szCs w:val="24"/>
        </w:rPr>
        <w:t xml:space="preserve"> [2003] EWCA Civ 1763, [2004] S.T.C. 147</w:t>
      </w:r>
      <w:r w:rsidR="00A13A7D">
        <w:rPr>
          <w:rFonts w:ascii="Garamond" w:hAnsi="Garamond" w:cs="Arial"/>
          <w:color w:val="000000" w:themeColor="text1"/>
          <w:sz w:val="24"/>
          <w:szCs w:val="24"/>
        </w:rPr>
        <w:t xml:space="preserve"> </w:t>
      </w:r>
      <w:r w:rsidR="00A13A7D" w:rsidRPr="00A13A7D">
        <w:rPr>
          <w:rFonts w:ascii="Garamond" w:hAnsi="Garamond" w:cs="Arial"/>
          <w:color w:val="000000" w:themeColor="text1"/>
          <w:sz w:val="24"/>
          <w:szCs w:val="24"/>
        </w:rPr>
        <w:t>followed. The decision-maker was required to look at the business in the round and consider the relative importance of the investment to the business as a whole; that involved looking at the business over a period of time. The decision-maker could have regard to various factors; none of those factors was conclusive, and a factor which was relevant to one business might not be relevant to another. It was not appropriate in every case to compartmentalise the business and attribute activity either to investment or to non-investment as an ancillary activity.</w:t>
      </w:r>
    </w:p>
    <w:p w14:paraId="480BDF08" w14:textId="34382F0D" w:rsidR="00A70C0E" w:rsidRDefault="00720C19" w:rsidP="00577A7C">
      <w:pPr>
        <w:pStyle w:val="NormalWeb"/>
        <w:numPr>
          <w:ilvl w:val="1"/>
          <w:numId w:val="2"/>
        </w:numPr>
        <w:jc w:val="both"/>
        <w:rPr>
          <w:rFonts w:ascii="Garamond" w:hAnsi="Garamond" w:cs="Arial"/>
          <w:color w:val="000000" w:themeColor="text1"/>
          <w:sz w:val="24"/>
          <w:szCs w:val="24"/>
        </w:rPr>
      </w:pPr>
      <w:r w:rsidRPr="0037167A">
        <w:rPr>
          <w:rFonts w:ascii="Garamond" w:hAnsi="Garamond" w:cs="Arial"/>
          <w:i/>
          <w:iCs/>
          <w:color w:val="000000" w:themeColor="text1"/>
          <w:sz w:val="24"/>
          <w:szCs w:val="24"/>
        </w:rPr>
        <w:t>HMRC v Pawson</w:t>
      </w:r>
      <w:r w:rsidR="0037167A">
        <w:rPr>
          <w:rFonts w:ascii="Garamond" w:hAnsi="Garamond" w:cs="Arial"/>
          <w:color w:val="000000" w:themeColor="text1"/>
          <w:sz w:val="24"/>
          <w:szCs w:val="24"/>
        </w:rPr>
        <w:t xml:space="preserve"> </w:t>
      </w:r>
      <w:r w:rsidR="0037167A" w:rsidRPr="0037167A">
        <w:rPr>
          <w:rFonts w:ascii="Garamond" w:hAnsi="Garamond" w:cs="Arial"/>
          <w:color w:val="000000" w:themeColor="text1"/>
          <w:sz w:val="24"/>
          <w:szCs w:val="24"/>
        </w:rPr>
        <w:t>[2013] UKUT 50 (TCC)</w:t>
      </w:r>
      <w:r w:rsidR="0037167A">
        <w:rPr>
          <w:rFonts w:ascii="Garamond" w:hAnsi="Garamond" w:cs="Arial"/>
          <w:color w:val="000000" w:themeColor="text1"/>
          <w:sz w:val="24"/>
          <w:szCs w:val="24"/>
        </w:rPr>
        <w:t xml:space="preserve">: </w:t>
      </w:r>
      <w:r w:rsidR="0024611E" w:rsidRPr="0024611E">
        <w:rPr>
          <w:rFonts w:ascii="Garamond" w:hAnsi="Garamond" w:cs="Arial"/>
          <w:color w:val="000000" w:themeColor="text1"/>
          <w:sz w:val="24"/>
          <w:szCs w:val="24"/>
        </w:rPr>
        <w:t xml:space="preserve">A holiday letting business would be regarded as a business consisting mainly of holding investments and accordingly disqualified by </w:t>
      </w:r>
      <w:r w:rsidR="0024611E">
        <w:rPr>
          <w:rFonts w:ascii="Garamond" w:hAnsi="Garamond" w:cs="Arial"/>
          <w:color w:val="000000" w:themeColor="text1"/>
          <w:sz w:val="24"/>
          <w:szCs w:val="24"/>
        </w:rPr>
        <w:t xml:space="preserve">IHTA 1984 section </w:t>
      </w:r>
      <w:r w:rsidR="0024611E" w:rsidRPr="0024611E">
        <w:rPr>
          <w:rFonts w:ascii="Garamond" w:hAnsi="Garamond" w:cs="Arial"/>
          <w:color w:val="000000" w:themeColor="text1"/>
          <w:sz w:val="24"/>
          <w:szCs w:val="24"/>
        </w:rPr>
        <w:t xml:space="preserve">105(3) from </w:t>
      </w:r>
      <w:r w:rsidR="0024611E">
        <w:rPr>
          <w:rFonts w:ascii="Garamond" w:hAnsi="Garamond" w:cs="Arial"/>
          <w:color w:val="000000" w:themeColor="text1"/>
          <w:sz w:val="24"/>
          <w:szCs w:val="24"/>
        </w:rPr>
        <w:t xml:space="preserve">BPR </w:t>
      </w:r>
      <w:r w:rsidR="0024611E" w:rsidRPr="0024611E">
        <w:rPr>
          <w:rFonts w:ascii="Garamond" w:hAnsi="Garamond" w:cs="Arial"/>
          <w:color w:val="000000" w:themeColor="text1"/>
          <w:sz w:val="24"/>
          <w:szCs w:val="24"/>
        </w:rPr>
        <w:t>where the services provided to occupants were limited to providing a cleaner and caretaker, heating, hot water, telephone, television, on-call services in case of emergencies and occasional replenishment of supplies</w:t>
      </w:r>
      <w:r w:rsidR="0024611E">
        <w:rPr>
          <w:rFonts w:ascii="Garamond" w:hAnsi="Garamond" w:cs="Arial"/>
          <w:color w:val="000000" w:themeColor="text1"/>
          <w:sz w:val="24"/>
          <w:szCs w:val="24"/>
        </w:rPr>
        <w:t xml:space="preserve">. </w:t>
      </w:r>
      <w:r w:rsidR="00F0383E">
        <w:rPr>
          <w:rFonts w:ascii="Garamond" w:hAnsi="Garamond" w:cs="Arial"/>
          <w:color w:val="000000" w:themeColor="text1"/>
          <w:sz w:val="24"/>
          <w:szCs w:val="24"/>
        </w:rPr>
        <w:t xml:space="preserve">A similar result was also found in </w:t>
      </w:r>
      <w:r w:rsidR="00F0383E" w:rsidRPr="00F0383E">
        <w:rPr>
          <w:rFonts w:ascii="Garamond" w:hAnsi="Garamond" w:cs="Arial"/>
          <w:i/>
          <w:iCs/>
          <w:color w:val="000000" w:themeColor="text1"/>
          <w:sz w:val="24"/>
          <w:szCs w:val="24"/>
        </w:rPr>
        <w:t>Green v HMRC</w:t>
      </w:r>
      <w:r w:rsidR="00F0383E">
        <w:rPr>
          <w:rFonts w:ascii="Garamond" w:hAnsi="Garamond" w:cs="Arial"/>
          <w:color w:val="000000" w:themeColor="text1"/>
          <w:sz w:val="24"/>
          <w:szCs w:val="24"/>
        </w:rPr>
        <w:t xml:space="preserve"> [2015] UKFTT 236 (TC) in the context of a furnished holding letting business and in </w:t>
      </w:r>
      <w:r w:rsidR="00F0383E" w:rsidRPr="00F0383E">
        <w:rPr>
          <w:rFonts w:ascii="Garamond" w:hAnsi="Garamond" w:cs="Arial"/>
          <w:i/>
          <w:iCs/>
          <w:color w:val="000000" w:themeColor="text1"/>
          <w:sz w:val="24"/>
          <w:szCs w:val="24"/>
        </w:rPr>
        <w:t>Ross v HMRC</w:t>
      </w:r>
      <w:r w:rsidR="00F0383E">
        <w:rPr>
          <w:rFonts w:ascii="Garamond" w:hAnsi="Garamond" w:cs="Arial"/>
          <w:color w:val="000000" w:themeColor="text1"/>
          <w:sz w:val="24"/>
          <w:szCs w:val="24"/>
        </w:rPr>
        <w:t xml:space="preserve"> [2017] UKFTT 507 (TC).</w:t>
      </w:r>
      <w:r w:rsidR="00FD7890">
        <w:rPr>
          <w:rFonts w:ascii="Garamond" w:hAnsi="Garamond" w:cs="Arial"/>
          <w:color w:val="000000" w:themeColor="text1"/>
          <w:sz w:val="24"/>
          <w:szCs w:val="24"/>
        </w:rPr>
        <w:t xml:space="preserve"> This can be distinguished from </w:t>
      </w:r>
      <w:r w:rsidR="00FD7890" w:rsidRPr="00FD7890">
        <w:rPr>
          <w:rFonts w:ascii="Garamond" w:hAnsi="Garamond" w:cs="Arial"/>
          <w:i/>
          <w:iCs/>
          <w:color w:val="000000" w:themeColor="text1"/>
          <w:sz w:val="24"/>
          <w:szCs w:val="24"/>
        </w:rPr>
        <w:t>Graham v HMRC</w:t>
      </w:r>
      <w:r w:rsidR="00FD7890">
        <w:rPr>
          <w:rFonts w:ascii="Garamond" w:hAnsi="Garamond" w:cs="Arial"/>
          <w:color w:val="000000" w:themeColor="text1"/>
          <w:sz w:val="24"/>
          <w:szCs w:val="24"/>
        </w:rPr>
        <w:t xml:space="preserve"> [2018] UKFTT 306 (TC), where holiday lets offering an “exceptional service” did qualify for BPR. </w:t>
      </w:r>
      <w:r w:rsidR="00A14891">
        <w:rPr>
          <w:rFonts w:ascii="Garamond" w:hAnsi="Garamond" w:cs="Arial"/>
          <w:color w:val="000000" w:themeColor="text1"/>
          <w:sz w:val="24"/>
          <w:szCs w:val="24"/>
        </w:rPr>
        <w:t>Here, the facilities and services made it more like a family run hotel</w:t>
      </w:r>
      <w:r w:rsidR="003C7646">
        <w:rPr>
          <w:rFonts w:ascii="Garamond" w:hAnsi="Garamond" w:cs="Arial"/>
          <w:color w:val="000000" w:themeColor="text1"/>
          <w:sz w:val="24"/>
          <w:szCs w:val="24"/>
        </w:rPr>
        <w:t xml:space="preserve"> (i.e. providing food and linen changes and </w:t>
      </w:r>
      <w:r w:rsidR="00C41BB5">
        <w:rPr>
          <w:rFonts w:ascii="Garamond" w:hAnsi="Garamond" w:cs="Arial"/>
          <w:color w:val="000000" w:themeColor="text1"/>
          <w:sz w:val="24"/>
          <w:szCs w:val="24"/>
        </w:rPr>
        <w:t xml:space="preserve">offering afternoon tea). </w:t>
      </w:r>
    </w:p>
    <w:p w14:paraId="618F0D2C" w14:textId="1ECF83D5" w:rsidR="0093373F" w:rsidRPr="00FB4184" w:rsidRDefault="00B90BFE" w:rsidP="00577A7C">
      <w:pPr>
        <w:pStyle w:val="NormalWeb"/>
        <w:numPr>
          <w:ilvl w:val="1"/>
          <w:numId w:val="2"/>
        </w:numPr>
        <w:jc w:val="both"/>
        <w:rPr>
          <w:rFonts w:ascii="Garamond" w:hAnsi="Garamond" w:cs="Arial"/>
          <w:color w:val="000000" w:themeColor="text1"/>
          <w:sz w:val="24"/>
          <w:szCs w:val="24"/>
        </w:rPr>
      </w:pPr>
      <w:r>
        <w:rPr>
          <w:rFonts w:ascii="Garamond" w:hAnsi="Garamond" w:cs="Arial"/>
          <w:color w:val="000000" w:themeColor="text1"/>
          <w:sz w:val="24"/>
          <w:szCs w:val="24"/>
        </w:rPr>
        <w:t xml:space="preserve">In </w:t>
      </w:r>
      <w:r w:rsidRPr="00B90BFE">
        <w:rPr>
          <w:rFonts w:ascii="Garamond" w:hAnsi="Garamond" w:cs="Arial"/>
          <w:i/>
          <w:iCs/>
          <w:color w:val="000000" w:themeColor="text1"/>
          <w:sz w:val="24"/>
          <w:szCs w:val="24"/>
        </w:rPr>
        <w:t xml:space="preserve">Vigne v HMRC </w:t>
      </w:r>
      <w:r w:rsidRPr="00B90BFE">
        <w:rPr>
          <w:rFonts w:ascii="Garamond" w:hAnsi="Garamond" w:cs="Arial"/>
          <w:color w:val="000000" w:themeColor="text1"/>
          <w:sz w:val="24"/>
          <w:szCs w:val="24"/>
        </w:rPr>
        <w:t>[2018] UKUT 357 (TCC)</w:t>
      </w:r>
      <w:r>
        <w:rPr>
          <w:rFonts w:ascii="Garamond" w:hAnsi="Garamond" w:cs="Arial"/>
          <w:color w:val="000000" w:themeColor="text1"/>
          <w:sz w:val="24"/>
          <w:szCs w:val="24"/>
        </w:rPr>
        <w:t xml:space="preserve">, BPR was available where the deceased had operated a livery business on 30 acres of land. </w:t>
      </w:r>
      <w:r w:rsidR="008B7BFE">
        <w:rPr>
          <w:rFonts w:ascii="Garamond" w:hAnsi="Garamond" w:cs="Arial"/>
          <w:color w:val="000000" w:themeColor="text1"/>
          <w:sz w:val="24"/>
          <w:szCs w:val="24"/>
        </w:rPr>
        <w:t xml:space="preserve">Crucially this was not just the provision of stables and fields for horses, but also additional services such as </w:t>
      </w:r>
      <w:r w:rsidR="00D3571E">
        <w:rPr>
          <w:rFonts w:ascii="Garamond" w:hAnsi="Garamond" w:cs="Arial"/>
          <w:color w:val="000000" w:themeColor="text1"/>
          <w:sz w:val="24"/>
          <w:szCs w:val="24"/>
        </w:rPr>
        <w:t xml:space="preserve">worming treatments and providing hay. </w:t>
      </w:r>
    </w:p>
    <w:p w14:paraId="550D123B" w14:textId="4ADBF819" w:rsidR="0066014A" w:rsidRPr="00D337F8" w:rsidRDefault="00871A6E"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lastRenderedPageBreak/>
        <w:t>Where property is subject to a binding contract for sale at the time of the transfer, it will not qualify as RBP</w:t>
      </w:r>
      <w:r w:rsidR="00D337F8">
        <w:rPr>
          <w:rFonts w:ascii="Garamond" w:hAnsi="Garamond" w:cs="Arial"/>
          <w:color w:val="000000" w:themeColor="text1"/>
          <w:sz w:val="24"/>
          <w:szCs w:val="24"/>
        </w:rPr>
        <w:t xml:space="preserve"> (see section 113 IHTA 1984):</w:t>
      </w:r>
    </w:p>
    <w:p w14:paraId="27A69FC0" w14:textId="2A012E7E" w:rsidR="00D337F8" w:rsidRPr="00D337F8" w:rsidRDefault="00D337F8" w:rsidP="00D337F8">
      <w:pPr>
        <w:pStyle w:val="NormalWeb"/>
        <w:ind w:left="360"/>
        <w:jc w:val="both"/>
        <w:rPr>
          <w:rFonts w:ascii="Garamond" w:hAnsi="Garamond" w:cs="Arial"/>
          <w:i/>
          <w:iCs/>
          <w:color w:val="000000" w:themeColor="text1"/>
          <w:sz w:val="24"/>
          <w:szCs w:val="24"/>
        </w:rPr>
      </w:pPr>
      <w:r>
        <w:rPr>
          <w:rFonts w:ascii="Garamond" w:hAnsi="Garamond" w:cs="Arial"/>
          <w:i/>
          <w:iCs/>
          <w:color w:val="000000" w:themeColor="text1"/>
          <w:sz w:val="24"/>
          <w:szCs w:val="24"/>
        </w:rPr>
        <w:t>“1</w:t>
      </w:r>
      <w:r w:rsidRPr="00D337F8">
        <w:rPr>
          <w:rFonts w:ascii="Garamond" w:hAnsi="Garamond" w:cs="Arial"/>
          <w:i/>
          <w:iCs/>
          <w:color w:val="000000" w:themeColor="text1"/>
          <w:sz w:val="24"/>
          <w:szCs w:val="24"/>
        </w:rPr>
        <w:t>13. Contracts for sale.</w:t>
      </w:r>
    </w:p>
    <w:p w14:paraId="1A982ACA" w14:textId="4165DD4F" w:rsidR="00D337F8" w:rsidRPr="00871A6E" w:rsidRDefault="00D337F8" w:rsidP="00D337F8">
      <w:pPr>
        <w:pStyle w:val="NormalWeb"/>
        <w:ind w:left="360"/>
        <w:jc w:val="both"/>
        <w:rPr>
          <w:rFonts w:ascii="Garamond" w:hAnsi="Garamond" w:cs="Arial"/>
          <w:i/>
          <w:iCs/>
          <w:color w:val="000000" w:themeColor="text1"/>
          <w:sz w:val="24"/>
          <w:szCs w:val="24"/>
        </w:rPr>
      </w:pPr>
      <w:r w:rsidRPr="00D337F8">
        <w:rPr>
          <w:rFonts w:ascii="Garamond" w:hAnsi="Garamond" w:cs="Arial"/>
          <w:i/>
          <w:iCs/>
          <w:color w:val="000000" w:themeColor="text1"/>
          <w:sz w:val="24"/>
          <w:szCs w:val="24"/>
        </w:rPr>
        <w:t>Where any property would be relevant business property in relation to a transfer of value but a binding contract for its sale has been entered into at the time of the transfer, it is not relevant business property in relation to the transfe</w:t>
      </w:r>
      <w:r>
        <w:rPr>
          <w:rFonts w:ascii="Garamond" w:hAnsi="Garamond" w:cs="Arial"/>
          <w:i/>
          <w:iCs/>
          <w:color w:val="000000" w:themeColor="text1"/>
          <w:sz w:val="24"/>
          <w:szCs w:val="24"/>
        </w:rPr>
        <w:t>r…”</w:t>
      </w:r>
    </w:p>
    <w:p w14:paraId="72D0300A" w14:textId="085579BA" w:rsidR="00871A6E" w:rsidRPr="005E7961" w:rsidRDefault="00D337F8"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This is unless the following </w:t>
      </w:r>
      <w:r w:rsidR="005E7961">
        <w:rPr>
          <w:rFonts w:ascii="Garamond" w:hAnsi="Garamond" w:cs="Arial"/>
          <w:color w:val="000000" w:themeColor="text1"/>
          <w:sz w:val="24"/>
          <w:szCs w:val="24"/>
        </w:rPr>
        <w:t>circumstances are in point:</w:t>
      </w:r>
    </w:p>
    <w:p w14:paraId="784AC373" w14:textId="4300A823" w:rsidR="00E37E76" w:rsidRPr="00E37E76" w:rsidRDefault="00E37E76" w:rsidP="00E37E76">
      <w:pPr>
        <w:pStyle w:val="NormalWeb"/>
        <w:ind w:left="360"/>
        <w:jc w:val="both"/>
        <w:rPr>
          <w:rFonts w:ascii="Garamond" w:hAnsi="Garamond" w:cs="Arial"/>
          <w:i/>
          <w:iCs/>
          <w:color w:val="000000" w:themeColor="text1"/>
          <w:sz w:val="24"/>
          <w:szCs w:val="24"/>
        </w:rPr>
      </w:pPr>
      <w:r>
        <w:rPr>
          <w:rFonts w:ascii="Garamond" w:hAnsi="Garamond" w:cs="Arial"/>
          <w:i/>
          <w:iCs/>
          <w:color w:val="000000" w:themeColor="text1"/>
          <w:sz w:val="24"/>
          <w:szCs w:val="24"/>
        </w:rPr>
        <w:t>“</w:t>
      </w:r>
      <w:r w:rsidRPr="00E37E76">
        <w:rPr>
          <w:rFonts w:ascii="Garamond" w:hAnsi="Garamond" w:cs="Arial"/>
          <w:i/>
          <w:iCs/>
          <w:color w:val="000000" w:themeColor="text1"/>
          <w:sz w:val="24"/>
          <w:szCs w:val="24"/>
        </w:rPr>
        <w:t>(a) the property is a business or interest in a business and the sale is to a company which is to carry on the business and is made in consideration wholly or mainly of shares in or securities of that company, or</w:t>
      </w:r>
    </w:p>
    <w:p w14:paraId="09915266" w14:textId="00F6BC67" w:rsidR="005E7961" w:rsidRPr="005E7961" w:rsidRDefault="00E37E76" w:rsidP="00E37E76">
      <w:pPr>
        <w:pStyle w:val="NormalWeb"/>
        <w:ind w:left="360"/>
        <w:jc w:val="both"/>
        <w:rPr>
          <w:rFonts w:ascii="Garamond" w:hAnsi="Garamond" w:cs="Arial"/>
          <w:i/>
          <w:iCs/>
          <w:color w:val="000000" w:themeColor="text1"/>
          <w:sz w:val="24"/>
          <w:szCs w:val="24"/>
        </w:rPr>
      </w:pPr>
      <w:r w:rsidRPr="00E37E76">
        <w:rPr>
          <w:rFonts w:ascii="Garamond" w:hAnsi="Garamond" w:cs="Arial"/>
          <w:i/>
          <w:iCs/>
          <w:color w:val="000000" w:themeColor="text1"/>
          <w:sz w:val="24"/>
          <w:szCs w:val="24"/>
        </w:rPr>
        <w:t>(b)  the property is shares in or securities of a company and the sale is made for the purpose of reconstruction or amalgamation.</w:t>
      </w:r>
      <w:r>
        <w:rPr>
          <w:rFonts w:ascii="Garamond" w:hAnsi="Garamond" w:cs="Arial"/>
          <w:i/>
          <w:iCs/>
          <w:color w:val="000000" w:themeColor="text1"/>
          <w:sz w:val="24"/>
          <w:szCs w:val="24"/>
        </w:rPr>
        <w:t>”</w:t>
      </w:r>
    </w:p>
    <w:p w14:paraId="3AC54F8A" w14:textId="77777777" w:rsidR="0064704E" w:rsidRPr="006F1A74" w:rsidRDefault="00DC5156"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Finally, </w:t>
      </w:r>
      <w:r w:rsidR="00463D80">
        <w:rPr>
          <w:rFonts w:ascii="Garamond" w:hAnsi="Garamond" w:cs="Arial"/>
          <w:color w:val="000000" w:themeColor="text1"/>
          <w:sz w:val="24"/>
          <w:szCs w:val="24"/>
        </w:rPr>
        <w:t>shares in or securities of a company do not qualify for RBP if at the relevant time, a winding up order has been made in respect of the company, the company has passed a resolution for voluntary winding up, or the company is in the process of liquidation (see section 105(5) IHTA 1984).</w:t>
      </w:r>
    </w:p>
    <w:p w14:paraId="5A607DAF" w14:textId="77777777" w:rsidR="006F1A74" w:rsidRPr="006F1A74" w:rsidRDefault="006F1A74" w:rsidP="006F1A74">
      <w:pPr>
        <w:pStyle w:val="NormalWeb"/>
        <w:ind w:left="360"/>
        <w:jc w:val="both"/>
        <w:rPr>
          <w:rFonts w:ascii="Garamond" w:hAnsi="Garamond" w:cs="Arial"/>
          <w:i/>
          <w:iCs/>
          <w:color w:val="000000" w:themeColor="text1"/>
          <w:sz w:val="24"/>
          <w:szCs w:val="24"/>
        </w:rPr>
      </w:pPr>
    </w:p>
    <w:p w14:paraId="6B7AF6B3" w14:textId="1DCE20F8" w:rsidR="006F1A74" w:rsidRPr="006F1A74" w:rsidRDefault="006F1A74" w:rsidP="006F1A74">
      <w:pPr>
        <w:pStyle w:val="Heading3"/>
        <w:rPr>
          <w:rFonts w:ascii="Garamond" w:hAnsi="Garamond"/>
          <w:b/>
          <w:bCs/>
          <w:i/>
          <w:iCs/>
          <w:color w:val="000000" w:themeColor="text1"/>
          <w:sz w:val="24"/>
          <w:szCs w:val="24"/>
          <w:u w:val="single"/>
        </w:rPr>
      </w:pPr>
      <w:r w:rsidRPr="006F1A74">
        <w:rPr>
          <w:rFonts w:ascii="Garamond" w:hAnsi="Garamond"/>
          <w:b/>
          <w:bCs/>
          <w:i/>
          <w:iCs/>
          <w:color w:val="000000" w:themeColor="text1"/>
          <w:sz w:val="24"/>
          <w:szCs w:val="24"/>
          <w:u w:val="single"/>
        </w:rPr>
        <w:t>Ancillary points:</w:t>
      </w:r>
    </w:p>
    <w:p w14:paraId="6E2419EB" w14:textId="607AAE3D" w:rsidR="006F1A74" w:rsidRPr="005E5E48" w:rsidRDefault="002659E0"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The relief can be clawed back in certain circumstances</w:t>
      </w:r>
      <w:r w:rsidR="005E5E48">
        <w:rPr>
          <w:rFonts w:ascii="Garamond" w:hAnsi="Garamond" w:cs="Arial"/>
          <w:color w:val="000000" w:themeColor="text1"/>
          <w:sz w:val="24"/>
          <w:szCs w:val="24"/>
        </w:rPr>
        <w:t xml:space="preserve">, for example, if the transferor dies within 7 years of a lifetime gift, unless the transferee still owns the property or replacement property and the property or replacement property still qualifies for BPR. </w:t>
      </w:r>
    </w:p>
    <w:p w14:paraId="5D863324" w14:textId="3B4253F1" w:rsidR="005E5E48" w:rsidRPr="0064704E" w:rsidRDefault="005E5E48"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If there is doubt</w:t>
      </w:r>
      <w:r w:rsidR="002B445B">
        <w:rPr>
          <w:rFonts w:ascii="Garamond" w:hAnsi="Garamond" w:cs="Arial"/>
          <w:color w:val="000000" w:themeColor="text1"/>
          <w:sz w:val="24"/>
          <w:szCs w:val="24"/>
        </w:rPr>
        <w:t xml:space="preserve"> (in cases where there is genuine uncertainty and there is an immediate lifetime charge)</w:t>
      </w:r>
      <w:r>
        <w:rPr>
          <w:rFonts w:ascii="Garamond" w:hAnsi="Garamond" w:cs="Arial"/>
          <w:color w:val="000000" w:themeColor="text1"/>
          <w:sz w:val="24"/>
          <w:szCs w:val="24"/>
        </w:rPr>
        <w:t xml:space="preserve">, HMRC </w:t>
      </w:r>
      <w:r w:rsidR="002B445B">
        <w:rPr>
          <w:rFonts w:ascii="Garamond" w:hAnsi="Garamond" w:cs="Arial"/>
          <w:color w:val="000000" w:themeColor="text1"/>
          <w:sz w:val="24"/>
          <w:szCs w:val="24"/>
        </w:rPr>
        <w:t>operates</w:t>
      </w:r>
      <w:r>
        <w:rPr>
          <w:rFonts w:ascii="Garamond" w:hAnsi="Garamond" w:cs="Arial"/>
          <w:color w:val="000000" w:themeColor="text1"/>
          <w:sz w:val="24"/>
          <w:szCs w:val="24"/>
        </w:rPr>
        <w:t xml:space="preserve"> a </w:t>
      </w:r>
      <w:r w:rsidR="00C1132D">
        <w:rPr>
          <w:rFonts w:ascii="Garamond" w:hAnsi="Garamond" w:cs="Arial"/>
          <w:color w:val="000000" w:themeColor="text1"/>
          <w:sz w:val="24"/>
          <w:szCs w:val="24"/>
        </w:rPr>
        <w:t xml:space="preserve">non-statutory clearance service. </w:t>
      </w:r>
    </w:p>
    <w:p w14:paraId="3BB53329" w14:textId="77777777" w:rsidR="0064704E" w:rsidRPr="0064704E" w:rsidRDefault="0064704E" w:rsidP="0064704E">
      <w:pPr>
        <w:pStyle w:val="NormalWeb"/>
        <w:ind w:left="360"/>
        <w:jc w:val="both"/>
        <w:rPr>
          <w:rFonts w:ascii="Garamond" w:hAnsi="Garamond" w:cs="Arial"/>
          <w:i/>
          <w:iCs/>
          <w:color w:val="000000" w:themeColor="text1"/>
          <w:sz w:val="24"/>
          <w:szCs w:val="24"/>
        </w:rPr>
      </w:pPr>
    </w:p>
    <w:p w14:paraId="6A17D127" w14:textId="4A587288" w:rsidR="005E7961" w:rsidRDefault="0064704E" w:rsidP="0064704E">
      <w:pPr>
        <w:pStyle w:val="Heading2"/>
        <w:jc w:val="both"/>
        <w:rPr>
          <w:rFonts w:ascii="Garamond" w:hAnsi="Garamond"/>
          <w:b/>
          <w:bCs/>
          <w:color w:val="000000" w:themeColor="text1"/>
          <w:sz w:val="24"/>
          <w:szCs w:val="24"/>
          <w:u w:val="single"/>
        </w:rPr>
      </w:pPr>
      <w:r w:rsidRPr="0064704E">
        <w:rPr>
          <w:rFonts w:ascii="Garamond" w:hAnsi="Garamond"/>
          <w:b/>
          <w:bCs/>
          <w:color w:val="000000" w:themeColor="text1"/>
          <w:sz w:val="24"/>
          <w:szCs w:val="24"/>
          <w:u w:val="single"/>
        </w:rPr>
        <w:t xml:space="preserve">Agricultural Property Relief </w:t>
      </w:r>
      <w:r w:rsidR="00C52F96">
        <w:rPr>
          <w:rFonts w:ascii="Garamond" w:hAnsi="Garamond"/>
          <w:b/>
          <w:bCs/>
          <w:color w:val="000000" w:themeColor="text1"/>
          <w:sz w:val="24"/>
          <w:szCs w:val="24"/>
          <w:u w:val="single"/>
        </w:rPr>
        <w:t>(sections 115 to 124C IHTA 1984)</w:t>
      </w:r>
    </w:p>
    <w:p w14:paraId="4E96A669" w14:textId="01303AD5" w:rsidR="00AD40C8" w:rsidRPr="00AD40C8" w:rsidRDefault="00AD40C8" w:rsidP="00AD40C8">
      <w:pPr>
        <w:pStyle w:val="Heading3"/>
        <w:rPr>
          <w:rFonts w:ascii="Garamond" w:hAnsi="Garamond"/>
          <w:b/>
          <w:bCs/>
          <w:i/>
          <w:iCs/>
          <w:color w:val="000000" w:themeColor="text1"/>
          <w:sz w:val="24"/>
          <w:szCs w:val="24"/>
          <w:u w:val="single"/>
        </w:rPr>
      </w:pPr>
      <w:r w:rsidRPr="00AD40C8">
        <w:rPr>
          <w:rFonts w:ascii="Garamond" w:hAnsi="Garamond"/>
          <w:b/>
          <w:bCs/>
          <w:i/>
          <w:iCs/>
          <w:color w:val="000000" w:themeColor="text1"/>
          <w:sz w:val="24"/>
          <w:szCs w:val="24"/>
          <w:u w:val="single"/>
        </w:rPr>
        <w:t>Operation of the relief</w:t>
      </w:r>
      <w:r w:rsidR="00472ACD">
        <w:rPr>
          <w:rFonts w:ascii="Garamond" w:hAnsi="Garamond"/>
          <w:b/>
          <w:bCs/>
          <w:i/>
          <w:iCs/>
          <w:color w:val="000000" w:themeColor="text1"/>
          <w:sz w:val="24"/>
          <w:szCs w:val="24"/>
          <w:u w:val="single"/>
        </w:rPr>
        <w:t>:</w:t>
      </w:r>
    </w:p>
    <w:p w14:paraId="28044604" w14:textId="1795E088" w:rsidR="0064704E" w:rsidRPr="00EA797A" w:rsidRDefault="00EA797A" w:rsidP="007A3EC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Similarly to BPR, APR is a relief from IHT. </w:t>
      </w:r>
    </w:p>
    <w:p w14:paraId="1C64CB79" w14:textId="4109C6FA" w:rsidR="00342AEF" w:rsidRPr="00342AEF" w:rsidRDefault="004325A0" w:rsidP="00342AE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The relief is available on the agricultural value of agricultural property situated in the UK. </w:t>
      </w:r>
      <w:r w:rsidR="00342AEF">
        <w:rPr>
          <w:rFonts w:ascii="Garamond" w:hAnsi="Garamond" w:cs="Arial"/>
          <w:color w:val="000000" w:themeColor="text1"/>
          <w:sz w:val="24"/>
          <w:szCs w:val="24"/>
        </w:rPr>
        <w:t>Pre 6</w:t>
      </w:r>
      <w:r w:rsidR="00342AEF" w:rsidRPr="00342AEF">
        <w:rPr>
          <w:rFonts w:ascii="Garamond" w:hAnsi="Garamond" w:cs="Arial"/>
          <w:color w:val="000000" w:themeColor="text1"/>
          <w:sz w:val="24"/>
          <w:szCs w:val="24"/>
          <w:vertAlign w:val="superscript"/>
        </w:rPr>
        <w:t>th</w:t>
      </w:r>
      <w:r w:rsidR="00342AEF">
        <w:rPr>
          <w:rFonts w:ascii="Garamond" w:hAnsi="Garamond" w:cs="Arial"/>
          <w:color w:val="000000" w:themeColor="text1"/>
          <w:sz w:val="24"/>
          <w:szCs w:val="24"/>
        </w:rPr>
        <w:t xml:space="preserve"> April 2024, the scope of the relief also applied to agricultural property in the Isle of Man, the EEA and the Channel Islands, occupied or owned by the transferor for the required period and for agricultural purposes. </w:t>
      </w:r>
      <w:r w:rsidR="00147E3D">
        <w:rPr>
          <w:rFonts w:ascii="Garamond" w:hAnsi="Garamond" w:cs="Arial"/>
          <w:color w:val="000000" w:themeColor="text1"/>
          <w:sz w:val="24"/>
          <w:szCs w:val="24"/>
        </w:rPr>
        <w:t xml:space="preserve">Where the conditions are met, the relief applies automatically. </w:t>
      </w:r>
    </w:p>
    <w:p w14:paraId="54D8676B" w14:textId="0ED1CE1B" w:rsidR="00342AEF" w:rsidRPr="006178C7" w:rsidRDefault="006178C7" w:rsidP="00342AE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In most circumstances, the relief is at a rate of 100%</w:t>
      </w:r>
      <w:r w:rsidR="00906974">
        <w:rPr>
          <w:rStyle w:val="FootnoteReference"/>
          <w:rFonts w:ascii="Garamond" w:hAnsi="Garamond" w:cs="Arial"/>
          <w:color w:val="000000" w:themeColor="text1"/>
          <w:sz w:val="24"/>
          <w:szCs w:val="24"/>
        </w:rPr>
        <w:footnoteReference w:id="2"/>
      </w:r>
      <w:r>
        <w:rPr>
          <w:rFonts w:ascii="Garamond" w:hAnsi="Garamond" w:cs="Arial"/>
          <w:color w:val="000000" w:themeColor="text1"/>
          <w:sz w:val="24"/>
          <w:szCs w:val="24"/>
        </w:rPr>
        <w:t>. Section 116 IHTA 1984 sets out as follows:</w:t>
      </w:r>
    </w:p>
    <w:p w14:paraId="1B121B7B" w14:textId="5FF23CB8" w:rsidR="006178C7" w:rsidRPr="006178C7" w:rsidRDefault="006178C7" w:rsidP="006178C7">
      <w:pPr>
        <w:pStyle w:val="NormalWeb"/>
        <w:ind w:left="360"/>
        <w:jc w:val="both"/>
        <w:rPr>
          <w:rFonts w:ascii="Garamond" w:hAnsi="Garamond" w:cs="Arial"/>
          <w:i/>
          <w:iCs/>
          <w:color w:val="000000" w:themeColor="text1"/>
          <w:sz w:val="24"/>
          <w:szCs w:val="24"/>
        </w:rPr>
      </w:pPr>
      <w:r>
        <w:rPr>
          <w:rFonts w:ascii="Garamond" w:hAnsi="Garamond" w:cs="Arial"/>
          <w:i/>
          <w:iCs/>
          <w:color w:val="000000" w:themeColor="text1"/>
          <w:sz w:val="24"/>
          <w:szCs w:val="24"/>
        </w:rPr>
        <w:lastRenderedPageBreak/>
        <w:t>“</w:t>
      </w:r>
      <w:r w:rsidRPr="006178C7">
        <w:rPr>
          <w:rFonts w:ascii="Garamond" w:hAnsi="Garamond" w:cs="Arial"/>
          <w:i/>
          <w:iCs/>
          <w:color w:val="000000" w:themeColor="text1"/>
          <w:sz w:val="24"/>
          <w:szCs w:val="24"/>
        </w:rPr>
        <w:t>116.— The relief.</w:t>
      </w:r>
    </w:p>
    <w:p w14:paraId="20B50CCF" w14:textId="6B60A075" w:rsidR="006178C7" w:rsidRPr="006178C7" w:rsidRDefault="006178C7" w:rsidP="006178C7">
      <w:pPr>
        <w:pStyle w:val="NormalWeb"/>
        <w:ind w:left="360"/>
        <w:jc w:val="both"/>
        <w:rPr>
          <w:rFonts w:ascii="Garamond" w:hAnsi="Garamond" w:cs="Arial"/>
          <w:i/>
          <w:iCs/>
          <w:color w:val="000000" w:themeColor="text1"/>
          <w:sz w:val="24"/>
          <w:szCs w:val="24"/>
        </w:rPr>
      </w:pPr>
      <w:r w:rsidRPr="006178C7">
        <w:rPr>
          <w:rFonts w:ascii="Garamond" w:hAnsi="Garamond" w:cs="Arial"/>
          <w:i/>
          <w:iCs/>
          <w:color w:val="000000" w:themeColor="text1"/>
          <w:sz w:val="24"/>
          <w:szCs w:val="24"/>
        </w:rPr>
        <w:t>(1)  Where the whole or part of the value transferred by a transfer of value is attributable to the agricultural value of agricultural property, the whole or that part of the value transferred shall be treated as reduced by the appropriate percentage, but subject to the following provisions of this Chapter.</w:t>
      </w:r>
    </w:p>
    <w:p w14:paraId="5CB933D8" w14:textId="59ACEE01" w:rsidR="006178C7" w:rsidRPr="006178C7" w:rsidRDefault="006178C7" w:rsidP="006178C7">
      <w:pPr>
        <w:pStyle w:val="NormalWeb"/>
        <w:ind w:left="360"/>
        <w:jc w:val="both"/>
        <w:rPr>
          <w:rFonts w:ascii="Garamond" w:hAnsi="Garamond" w:cs="Arial"/>
          <w:i/>
          <w:iCs/>
          <w:color w:val="000000" w:themeColor="text1"/>
          <w:sz w:val="24"/>
          <w:szCs w:val="24"/>
        </w:rPr>
      </w:pPr>
      <w:r w:rsidRPr="006178C7">
        <w:rPr>
          <w:rFonts w:ascii="Garamond" w:hAnsi="Garamond" w:cs="Arial"/>
          <w:i/>
          <w:iCs/>
          <w:color w:val="000000" w:themeColor="text1"/>
          <w:sz w:val="24"/>
          <w:szCs w:val="24"/>
        </w:rPr>
        <w:t>(2)  The appropriate percentage is 100 per cent</w:t>
      </w:r>
      <w:r>
        <w:rPr>
          <w:rFonts w:ascii="Garamond" w:hAnsi="Garamond" w:cs="Arial"/>
          <w:i/>
          <w:iCs/>
          <w:color w:val="000000" w:themeColor="text1"/>
          <w:sz w:val="24"/>
          <w:szCs w:val="24"/>
        </w:rPr>
        <w:t xml:space="preserve"> </w:t>
      </w:r>
      <w:r w:rsidRPr="006178C7">
        <w:rPr>
          <w:rFonts w:ascii="Garamond" w:hAnsi="Garamond" w:cs="Arial"/>
          <w:i/>
          <w:iCs/>
          <w:color w:val="000000" w:themeColor="text1"/>
          <w:sz w:val="24"/>
          <w:szCs w:val="24"/>
        </w:rPr>
        <w:t>if —</w:t>
      </w:r>
    </w:p>
    <w:p w14:paraId="4806CCB8" w14:textId="77777777" w:rsidR="006178C7" w:rsidRPr="006178C7" w:rsidRDefault="006178C7" w:rsidP="006178C7">
      <w:pPr>
        <w:pStyle w:val="NormalWeb"/>
        <w:ind w:left="360"/>
        <w:jc w:val="both"/>
        <w:rPr>
          <w:rFonts w:ascii="Garamond" w:hAnsi="Garamond" w:cs="Arial"/>
          <w:i/>
          <w:iCs/>
          <w:color w:val="000000" w:themeColor="text1"/>
          <w:sz w:val="24"/>
          <w:szCs w:val="24"/>
        </w:rPr>
      </w:pPr>
      <w:r w:rsidRPr="006178C7">
        <w:rPr>
          <w:rFonts w:ascii="Garamond" w:hAnsi="Garamond" w:cs="Arial"/>
          <w:i/>
          <w:iCs/>
          <w:color w:val="000000" w:themeColor="text1"/>
          <w:sz w:val="24"/>
          <w:szCs w:val="24"/>
        </w:rPr>
        <w:t>(a)  the interest of the transferor in the property immediately before the transfer carries the right to vacant possession or the right to obtain it within the next twelve months, or</w:t>
      </w:r>
    </w:p>
    <w:p w14:paraId="408B1F55" w14:textId="78FDE069" w:rsidR="006178C7" w:rsidRPr="006178C7" w:rsidRDefault="006178C7" w:rsidP="006178C7">
      <w:pPr>
        <w:pStyle w:val="NormalWeb"/>
        <w:ind w:left="360"/>
        <w:jc w:val="both"/>
        <w:rPr>
          <w:rFonts w:ascii="Garamond" w:hAnsi="Garamond" w:cs="Arial"/>
          <w:i/>
          <w:iCs/>
          <w:color w:val="000000" w:themeColor="text1"/>
          <w:sz w:val="24"/>
          <w:szCs w:val="24"/>
        </w:rPr>
      </w:pPr>
      <w:r w:rsidRPr="006178C7">
        <w:rPr>
          <w:rFonts w:ascii="Garamond" w:hAnsi="Garamond" w:cs="Arial"/>
          <w:i/>
          <w:iCs/>
          <w:color w:val="000000" w:themeColor="text1"/>
          <w:sz w:val="24"/>
          <w:szCs w:val="24"/>
        </w:rPr>
        <w:t>(b)  the transferor has been beneficially entitled to that interest since before 10th March 1981 and the conditions set out in subsection (3) below are satisfied;</w:t>
      </w:r>
      <w:r>
        <w:rPr>
          <w:rFonts w:ascii="Garamond" w:hAnsi="Garamond" w:cs="Arial"/>
          <w:i/>
          <w:iCs/>
          <w:color w:val="000000" w:themeColor="text1"/>
          <w:sz w:val="24"/>
          <w:szCs w:val="24"/>
        </w:rPr>
        <w:t xml:space="preserve"> </w:t>
      </w:r>
      <w:r w:rsidRPr="006178C7">
        <w:rPr>
          <w:rFonts w:ascii="Garamond" w:hAnsi="Garamond" w:cs="Arial"/>
          <w:i/>
          <w:iCs/>
          <w:color w:val="000000" w:themeColor="text1"/>
          <w:sz w:val="24"/>
          <w:szCs w:val="24"/>
        </w:rPr>
        <w:t>or</w:t>
      </w:r>
    </w:p>
    <w:p w14:paraId="4F9A6FAD" w14:textId="3E5B9C31" w:rsidR="006178C7" w:rsidRPr="006178C7" w:rsidRDefault="006178C7" w:rsidP="0078387A">
      <w:pPr>
        <w:pStyle w:val="NormalWeb"/>
        <w:ind w:left="360"/>
        <w:jc w:val="both"/>
        <w:rPr>
          <w:rFonts w:ascii="Garamond" w:hAnsi="Garamond" w:cs="Arial"/>
          <w:i/>
          <w:iCs/>
          <w:color w:val="000000" w:themeColor="text1"/>
          <w:sz w:val="24"/>
          <w:szCs w:val="24"/>
        </w:rPr>
      </w:pPr>
      <w:r w:rsidRPr="006178C7">
        <w:rPr>
          <w:rFonts w:ascii="Garamond" w:hAnsi="Garamond" w:cs="Arial"/>
          <w:i/>
          <w:iCs/>
          <w:color w:val="000000" w:themeColor="text1"/>
          <w:sz w:val="24"/>
          <w:szCs w:val="24"/>
        </w:rPr>
        <w:t>(c)  the interest of the transferor in the property immediately before the transfer does not carry either of the rights mentioned in paragraph (a) above because the property is let on a tenancy beginning on or after 1st September 1995;</w:t>
      </w:r>
      <w:r w:rsidR="0078387A">
        <w:rPr>
          <w:rFonts w:ascii="Garamond" w:hAnsi="Garamond" w:cs="Arial"/>
          <w:i/>
          <w:iCs/>
          <w:color w:val="000000" w:themeColor="text1"/>
          <w:sz w:val="24"/>
          <w:szCs w:val="24"/>
        </w:rPr>
        <w:t xml:space="preserve"> </w:t>
      </w:r>
      <w:r w:rsidRPr="006178C7">
        <w:rPr>
          <w:rFonts w:ascii="Garamond" w:hAnsi="Garamond" w:cs="Arial"/>
          <w:i/>
          <w:iCs/>
          <w:color w:val="000000" w:themeColor="text1"/>
          <w:sz w:val="24"/>
          <w:szCs w:val="24"/>
        </w:rPr>
        <w:t>and, subject to subsection (4) below, it is 50 per cent</w:t>
      </w:r>
      <w:r w:rsidR="0078387A">
        <w:rPr>
          <w:rFonts w:ascii="Garamond" w:hAnsi="Garamond" w:cs="Arial"/>
          <w:i/>
          <w:iCs/>
          <w:color w:val="000000" w:themeColor="text1"/>
          <w:sz w:val="24"/>
          <w:szCs w:val="24"/>
        </w:rPr>
        <w:t xml:space="preserve"> </w:t>
      </w:r>
      <w:r w:rsidRPr="006178C7">
        <w:rPr>
          <w:rFonts w:ascii="Garamond" w:hAnsi="Garamond" w:cs="Arial"/>
          <w:i/>
          <w:iCs/>
          <w:color w:val="000000" w:themeColor="text1"/>
          <w:sz w:val="24"/>
          <w:szCs w:val="24"/>
        </w:rPr>
        <w:t>in any other case.</w:t>
      </w:r>
      <w:r w:rsidR="0078387A">
        <w:rPr>
          <w:rFonts w:ascii="Garamond" w:hAnsi="Garamond" w:cs="Arial"/>
          <w:i/>
          <w:iCs/>
          <w:color w:val="000000" w:themeColor="text1"/>
          <w:sz w:val="24"/>
          <w:szCs w:val="24"/>
        </w:rPr>
        <w:t>”</w:t>
      </w:r>
    </w:p>
    <w:p w14:paraId="7AA7023D" w14:textId="70915D4D" w:rsidR="006178C7" w:rsidRPr="00F36111" w:rsidRDefault="0034623B" w:rsidP="00342AE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It is only on the agricultural value that relief is given. The higher open market value is ignored (for example, where there is planning permission for residential buildings, the land has mineral value, or a non-farmer would pay </w:t>
      </w:r>
      <w:r w:rsidR="00F36111">
        <w:rPr>
          <w:rFonts w:ascii="Garamond" w:hAnsi="Garamond" w:cs="Arial"/>
          <w:color w:val="000000" w:themeColor="text1"/>
          <w:sz w:val="24"/>
          <w:szCs w:val="24"/>
        </w:rPr>
        <w:t xml:space="preserve">significant sums for the farmhouse). </w:t>
      </w:r>
      <w:r w:rsidR="00624774">
        <w:rPr>
          <w:rFonts w:ascii="Garamond" w:hAnsi="Garamond" w:cs="Arial"/>
          <w:color w:val="000000" w:themeColor="text1"/>
          <w:sz w:val="24"/>
          <w:szCs w:val="24"/>
        </w:rPr>
        <w:t>This is because of section 115(3) IHTA 1984,</w:t>
      </w:r>
      <w:r w:rsidR="00624774" w:rsidRPr="00624774">
        <w:rPr>
          <w:rFonts w:ascii="Garamond" w:hAnsi="Garamond" w:cs="Arial"/>
          <w:color w:val="000000" w:themeColor="text1"/>
          <w:sz w:val="24"/>
          <w:szCs w:val="24"/>
        </w:rPr>
        <w:t xml:space="preserve"> </w:t>
      </w:r>
      <w:r w:rsidR="00624774">
        <w:rPr>
          <w:rFonts w:ascii="Garamond" w:hAnsi="Garamond" w:cs="Arial"/>
          <w:color w:val="000000" w:themeColor="text1"/>
          <w:sz w:val="24"/>
          <w:szCs w:val="24"/>
        </w:rPr>
        <w:t xml:space="preserve">which sets out that the </w:t>
      </w:r>
      <w:r w:rsidR="00624774" w:rsidRPr="00624774">
        <w:rPr>
          <w:rFonts w:ascii="Garamond" w:hAnsi="Garamond" w:cs="Arial"/>
          <w:color w:val="000000" w:themeColor="text1"/>
          <w:sz w:val="24"/>
          <w:szCs w:val="24"/>
        </w:rPr>
        <w:t xml:space="preserve">value </w:t>
      </w:r>
      <w:r w:rsidR="00624774">
        <w:rPr>
          <w:rFonts w:ascii="Garamond" w:hAnsi="Garamond" w:cs="Arial"/>
          <w:color w:val="000000" w:themeColor="text1"/>
          <w:sz w:val="24"/>
          <w:szCs w:val="24"/>
        </w:rPr>
        <w:t xml:space="preserve">should be the </w:t>
      </w:r>
      <w:r w:rsidR="00624774" w:rsidRPr="00624774">
        <w:rPr>
          <w:rFonts w:ascii="Garamond" w:hAnsi="Garamond" w:cs="Arial"/>
          <w:color w:val="000000" w:themeColor="text1"/>
          <w:sz w:val="24"/>
          <w:szCs w:val="24"/>
        </w:rPr>
        <w:t>value of the property if the property were subject to a perpetual covenant prohibiting its use otherwise than as agricultural property)</w:t>
      </w:r>
      <w:r w:rsidR="00624774">
        <w:rPr>
          <w:rFonts w:ascii="Garamond" w:hAnsi="Garamond" w:cs="Arial"/>
          <w:color w:val="000000" w:themeColor="text1"/>
          <w:sz w:val="24"/>
          <w:szCs w:val="24"/>
        </w:rPr>
        <w:t xml:space="preserve">. </w:t>
      </w:r>
      <w:r w:rsidR="009F356F">
        <w:rPr>
          <w:rFonts w:ascii="Garamond" w:hAnsi="Garamond" w:cs="Arial"/>
          <w:color w:val="000000" w:themeColor="text1"/>
          <w:sz w:val="24"/>
          <w:szCs w:val="24"/>
        </w:rPr>
        <w:t xml:space="preserve">BPR can however of course apply where the conditions are met if the agricultural value is less than the open market value. </w:t>
      </w:r>
    </w:p>
    <w:p w14:paraId="56723788" w14:textId="336955B0" w:rsidR="00F36111" w:rsidRPr="00C84729" w:rsidRDefault="006F1D6B" w:rsidP="00342AE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As set out under the section on BPR, </w:t>
      </w:r>
      <w:r w:rsidR="00C84729">
        <w:rPr>
          <w:rFonts w:ascii="Garamond" w:hAnsi="Garamond" w:cs="Arial"/>
          <w:color w:val="000000" w:themeColor="text1"/>
          <w:sz w:val="24"/>
          <w:szCs w:val="24"/>
        </w:rPr>
        <w:t>there are similar restrictions on the deductions of debt post 17</w:t>
      </w:r>
      <w:r w:rsidR="00C84729" w:rsidRPr="00C84729">
        <w:rPr>
          <w:rFonts w:ascii="Garamond" w:hAnsi="Garamond" w:cs="Arial"/>
          <w:color w:val="000000" w:themeColor="text1"/>
          <w:sz w:val="24"/>
          <w:szCs w:val="24"/>
          <w:vertAlign w:val="superscript"/>
        </w:rPr>
        <w:t>th</w:t>
      </w:r>
      <w:r w:rsidR="00C84729">
        <w:rPr>
          <w:rFonts w:ascii="Garamond" w:hAnsi="Garamond" w:cs="Arial"/>
          <w:color w:val="000000" w:themeColor="text1"/>
          <w:sz w:val="24"/>
          <w:szCs w:val="24"/>
        </w:rPr>
        <w:t xml:space="preserve"> July 2013. </w:t>
      </w:r>
    </w:p>
    <w:p w14:paraId="53F99CA2" w14:textId="3F0799FF" w:rsidR="00C84729" w:rsidRPr="00504AF2" w:rsidRDefault="00E30F50" w:rsidP="00342AE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It is also very important to obtain a detailed surveyor’s report, showing an ordinance survey plan, photographs of the farm buildings, cottages and farmhouse, detailed descriptions of each parcel of land and what any outbuildings are used for, </w:t>
      </w:r>
      <w:r w:rsidR="00AD40C8">
        <w:rPr>
          <w:rFonts w:ascii="Garamond" w:hAnsi="Garamond" w:cs="Arial"/>
          <w:color w:val="000000" w:themeColor="text1"/>
          <w:sz w:val="24"/>
          <w:szCs w:val="24"/>
        </w:rPr>
        <w:t xml:space="preserve">and the open market value of each parcel of land and where different, the agricultural value. </w:t>
      </w:r>
    </w:p>
    <w:p w14:paraId="468E6DFF" w14:textId="77777777" w:rsidR="00504AF2" w:rsidRPr="00504AF2" w:rsidRDefault="00504AF2" w:rsidP="00504AF2">
      <w:pPr>
        <w:pStyle w:val="NormalWeb"/>
        <w:ind w:left="360"/>
        <w:jc w:val="both"/>
        <w:rPr>
          <w:rFonts w:ascii="Garamond" w:hAnsi="Garamond" w:cs="Arial"/>
          <w:i/>
          <w:iCs/>
          <w:color w:val="000000" w:themeColor="text1"/>
          <w:sz w:val="24"/>
          <w:szCs w:val="24"/>
        </w:rPr>
      </w:pPr>
    </w:p>
    <w:p w14:paraId="25637E77" w14:textId="41EB1975" w:rsidR="00504AF2" w:rsidRPr="00622934" w:rsidRDefault="00504AF2" w:rsidP="00504AF2">
      <w:pPr>
        <w:pStyle w:val="Heading3"/>
        <w:rPr>
          <w:rFonts w:ascii="Garamond" w:hAnsi="Garamond"/>
          <w:b/>
          <w:bCs/>
          <w:i/>
          <w:iCs/>
          <w:color w:val="000000" w:themeColor="text1"/>
          <w:sz w:val="24"/>
          <w:szCs w:val="24"/>
          <w:u w:val="single"/>
        </w:rPr>
      </w:pPr>
      <w:r w:rsidRPr="00622934">
        <w:rPr>
          <w:rFonts w:ascii="Garamond" w:hAnsi="Garamond"/>
          <w:b/>
          <w:bCs/>
          <w:i/>
          <w:iCs/>
          <w:color w:val="000000" w:themeColor="text1"/>
          <w:sz w:val="24"/>
          <w:szCs w:val="24"/>
          <w:u w:val="single"/>
        </w:rPr>
        <w:t>Meaning of agricultural property</w:t>
      </w:r>
      <w:r w:rsidR="00472ACD">
        <w:rPr>
          <w:rFonts w:ascii="Garamond" w:hAnsi="Garamond"/>
          <w:b/>
          <w:bCs/>
          <w:i/>
          <w:iCs/>
          <w:color w:val="000000" w:themeColor="text1"/>
          <w:sz w:val="24"/>
          <w:szCs w:val="24"/>
          <w:u w:val="single"/>
        </w:rPr>
        <w:t>:</w:t>
      </w:r>
      <w:r w:rsidRPr="00622934">
        <w:rPr>
          <w:rFonts w:ascii="Garamond" w:hAnsi="Garamond"/>
          <w:b/>
          <w:bCs/>
          <w:i/>
          <w:iCs/>
          <w:color w:val="000000" w:themeColor="text1"/>
          <w:sz w:val="24"/>
          <w:szCs w:val="24"/>
          <w:u w:val="single"/>
        </w:rPr>
        <w:t xml:space="preserve"> </w:t>
      </w:r>
    </w:p>
    <w:p w14:paraId="480600E1" w14:textId="77E3CC85" w:rsidR="00AD40C8" w:rsidRPr="00504AF2" w:rsidRDefault="00504AF2" w:rsidP="00342AE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Section 115(2) IHTA 1984 sets out as follows regarding the meaning of agricultural property:</w:t>
      </w:r>
    </w:p>
    <w:p w14:paraId="53D4BF46" w14:textId="27BE4C62" w:rsidR="00504AF2" w:rsidRPr="00504AF2" w:rsidRDefault="00504AF2" w:rsidP="00504AF2">
      <w:pPr>
        <w:pStyle w:val="NormalWeb"/>
        <w:ind w:left="360"/>
        <w:jc w:val="both"/>
        <w:rPr>
          <w:rFonts w:ascii="Garamond" w:hAnsi="Garamond" w:cs="Arial"/>
          <w:i/>
          <w:iCs/>
          <w:color w:val="000000" w:themeColor="text1"/>
          <w:sz w:val="24"/>
          <w:szCs w:val="24"/>
        </w:rPr>
      </w:pPr>
      <w:r>
        <w:rPr>
          <w:rFonts w:ascii="Garamond" w:hAnsi="Garamond" w:cs="Arial"/>
          <w:i/>
          <w:iCs/>
          <w:color w:val="000000" w:themeColor="text1"/>
          <w:sz w:val="24"/>
          <w:szCs w:val="24"/>
        </w:rPr>
        <w:t>“</w:t>
      </w:r>
      <w:r w:rsidRPr="00504AF2">
        <w:rPr>
          <w:rFonts w:ascii="Garamond" w:hAnsi="Garamond" w:cs="Arial"/>
          <w:i/>
          <w:iCs/>
          <w:color w:val="000000" w:themeColor="text1"/>
          <w:sz w:val="24"/>
          <w:szCs w:val="24"/>
        </w:rPr>
        <w:t>(2)  In this Chapter “agricultural property”  means agricultural land or pasture and includes woodland and any building used in connection with the intensive rearing of livestock or fish if the woodland or building is occupied with agricultural land or pasture and the occupation is ancillary to that of the agricultural land or pasture; and also includes such cottages, farm buildings and farmhouses, together with the land occupied with them, as are of a character appropriate to the property.</w:t>
      </w:r>
      <w:r>
        <w:rPr>
          <w:rFonts w:ascii="Garamond" w:hAnsi="Garamond" w:cs="Arial"/>
          <w:i/>
          <w:iCs/>
          <w:color w:val="000000" w:themeColor="text1"/>
          <w:sz w:val="24"/>
          <w:szCs w:val="24"/>
        </w:rPr>
        <w:t>”</w:t>
      </w:r>
    </w:p>
    <w:p w14:paraId="58DA706A" w14:textId="10FBF7D9" w:rsidR="00504AF2" w:rsidRPr="001934E0" w:rsidRDefault="00A95C51" w:rsidP="00342AEF">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The requirement that the building is “ancillary” was considered in </w:t>
      </w:r>
      <w:r w:rsidR="004068C7" w:rsidRPr="00DE3863">
        <w:rPr>
          <w:rFonts w:ascii="Garamond" w:hAnsi="Garamond" w:cs="Arial"/>
          <w:i/>
          <w:iCs/>
          <w:color w:val="000000" w:themeColor="text1"/>
          <w:sz w:val="24"/>
          <w:szCs w:val="24"/>
        </w:rPr>
        <w:t>Williams v HMRC</w:t>
      </w:r>
      <w:r w:rsidR="004068C7">
        <w:rPr>
          <w:rFonts w:ascii="Garamond" w:hAnsi="Garamond" w:cs="Arial"/>
          <w:color w:val="000000" w:themeColor="text1"/>
          <w:sz w:val="24"/>
          <w:szCs w:val="24"/>
        </w:rPr>
        <w:t xml:space="preserve"> </w:t>
      </w:r>
      <w:r w:rsidR="00DE3863" w:rsidRPr="00DE3863">
        <w:rPr>
          <w:rFonts w:ascii="Garamond" w:hAnsi="Garamond" w:cs="Arial"/>
          <w:color w:val="000000" w:themeColor="text1"/>
          <w:sz w:val="24"/>
          <w:szCs w:val="24"/>
        </w:rPr>
        <w:t>[2005] 8 WLUK 310</w:t>
      </w:r>
      <w:r w:rsidR="00691CD7">
        <w:rPr>
          <w:rFonts w:ascii="Garamond" w:hAnsi="Garamond" w:cs="Arial"/>
          <w:color w:val="000000" w:themeColor="text1"/>
          <w:sz w:val="24"/>
          <w:szCs w:val="24"/>
        </w:rPr>
        <w:t xml:space="preserve">. </w:t>
      </w:r>
      <w:r w:rsidR="00691CD7" w:rsidRPr="00691CD7">
        <w:rPr>
          <w:rFonts w:ascii="Garamond" w:hAnsi="Garamond" w:cs="Arial"/>
          <w:color w:val="000000" w:themeColor="text1"/>
          <w:sz w:val="24"/>
          <w:szCs w:val="24"/>
        </w:rPr>
        <w:t>The meaning of "ancillary" ha</w:t>
      </w:r>
      <w:r w:rsidR="00691CD7">
        <w:rPr>
          <w:rFonts w:ascii="Garamond" w:hAnsi="Garamond" w:cs="Arial"/>
          <w:color w:val="000000" w:themeColor="text1"/>
          <w:sz w:val="24"/>
          <w:szCs w:val="24"/>
        </w:rPr>
        <w:t>s</w:t>
      </w:r>
      <w:r w:rsidR="00691CD7" w:rsidRPr="00691CD7">
        <w:rPr>
          <w:rFonts w:ascii="Garamond" w:hAnsi="Garamond" w:cs="Arial"/>
          <w:color w:val="000000" w:themeColor="text1"/>
          <w:sz w:val="24"/>
          <w:szCs w:val="24"/>
        </w:rPr>
        <w:t xml:space="preserve"> to be determined through both</w:t>
      </w:r>
      <w:r w:rsidR="00691CD7">
        <w:rPr>
          <w:rFonts w:ascii="Garamond" w:hAnsi="Garamond" w:cs="Arial"/>
          <w:color w:val="000000" w:themeColor="text1"/>
          <w:sz w:val="24"/>
          <w:szCs w:val="24"/>
        </w:rPr>
        <w:t xml:space="preserve"> </w:t>
      </w:r>
      <w:r w:rsidR="00691CD7" w:rsidRPr="00691CD7">
        <w:rPr>
          <w:rFonts w:ascii="Garamond" w:hAnsi="Garamond" w:cs="Arial"/>
          <w:color w:val="000000" w:themeColor="text1"/>
          <w:sz w:val="24"/>
          <w:szCs w:val="24"/>
        </w:rPr>
        <w:t xml:space="preserve">a purposive </w:t>
      </w:r>
      <w:r w:rsidR="00691CD7">
        <w:rPr>
          <w:rFonts w:ascii="Garamond" w:hAnsi="Garamond" w:cs="Arial"/>
          <w:color w:val="000000" w:themeColor="text1"/>
          <w:sz w:val="24"/>
          <w:szCs w:val="24"/>
        </w:rPr>
        <w:t>construction of the section.</w:t>
      </w:r>
      <w:r w:rsidR="00691CD7" w:rsidRPr="00691CD7">
        <w:rPr>
          <w:rFonts w:ascii="Garamond" w:hAnsi="Garamond" w:cs="Arial"/>
          <w:color w:val="000000" w:themeColor="text1"/>
          <w:sz w:val="24"/>
          <w:szCs w:val="24"/>
        </w:rPr>
        <w:t xml:space="preserve"> The overall purpose of the section was to allow buildings used for </w:t>
      </w:r>
      <w:r w:rsidR="00691CD7" w:rsidRPr="00691CD7">
        <w:rPr>
          <w:rFonts w:ascii="Garamond" w:hAnsi="Garamond" w:cs="Arial"/>
          <w:color w:val="000000" w:themeColor="text1"/>
          <w:sz w:val="24"/>
          <w:szCs w:val="24"/>
        </w:rPr>
        <w:lastRenderedPageBreak/>
        <w:t>intensive farming to qualify for relief only where they were part of a farm. The word "ancillary" had to be read in the context of its close association with the term "occupied"</w:t>
      </w:r>
      <w:r w:rsidR="00691CD7">
        <w:rPr>
          <w:rFonts w:ascii="Garamond" w:hAnsi="Garamond" w:cs="Arial"/>
          <w:color w:val="000000" w:themeColor="text1"/>
          <w:sz w:val="24"/>
          <w:szCs w:val="24"/>
        </w:rPr>
        <w:t xml:space="preserve"> and therefore</w:t>
      </w:r>
      <w:r w:rsidR="00691CD7" w:rsidRPr="00691CD7">
        <w:rPr>
          <w:rFonts w:ascii="Garamond" w:hAnsi="Garamond" w:cs="Arial"/>
          <w:color w:val="000000" w:themeColor="text1"/>
          <w:sz w:val="24"/>
          <w:szCs w:val="24"/>
        </w:rPr>
        <w:t xml:space="preserve"> the purpose to which the buildings were put had to be ancillary to the purpose to which the rest of the land was put. </w:t>
      </w:r>
    </w:p>
    <w:p w14:paraId="7966181C" w14:textId="1FF4E7E9" w:rsidR="001934E0" w:rsidRPr="001D5F98" w:rsidRDefault="001934E0" w:rsidP="001934E0">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What does “agricultural” mean?</w:t>
      </w:r>
      <w:r>
        <w:rPr>
          <w:rFonts w:ascii="Garamond" w:hAnsi="Garamond" w:cs="Arial"/>
          <w:i/>
          <w:iCs/>
          <w:color w:val="000000" w:themeColor="text1"/>
          <w:sz w:val="24"/>
          <w:szCs w:val="24"/>
        </w:rPr>
        <w:t xml:space="preserve"> </w:t>
      </w:r>
      <w:r>
        <w:rPr>
          <w:rFonts w:ascii="Garamond" w:hAnsi="Garamond" w:cs="Arial"/>
          <w:color w:val="000000" w:themeColor="text1"/>
          <w:sz w:val="24"/>
          <w:szCs w:val="24"/>
        </w:rPr>
        <w:t xml:space="preserve">HMRC’s Manual at </w:t>
      </w:r>
      <w:r w:rsidR="001D5F98">
        <w:rPr>
          <w:rFonts w:ascii="Garamond" w:hAnsi="Garamond" w:cs="Arial"/>
          <w:color w:val="000000" w:themeColor="text1"/>
          <w:sz w:val="24"/>
          <w:szCs w:val="24"/>
        </w:rPr>
        <w:t>IHTM24061 sets out as follows:</w:t>
      </w:r>
    </w:p>
    <w:p w14:paraId="6221AA8D" w14:textId="135D192D" w:rsidR="001D5F98" w:rsidRPr="001D5F98" w:rsidRDefault="001D5F98" w:rsidP="001D5F98">
      <w:pPr>
        <w:pStyle w:val="NormalWeb"/>
        <w:ind w:left="360"/>
        <w:jc w:val="both"/>
        <w:rPr>
          <w:rFonts w:ascii="Garamond" w:hAnsi="Garamond" w:cs="Arial"/>
          <w:i/>
          <w:iCs/>
          <w:color w:val="000000" w:themeColor="text1"/>
          <w:sz w:val="24"/>
          <w:szCs w:val="24"/>
        </w:rPr>
      </w:pPr>
      <w:r>
        <w:rPr>
          <w:rFonts w:ascii="Garamond" w:hAnsi="Garamond" w:cs="Arial"/>
          <w:i/>
          <w:iCs/>
          <w:color w:val="000000" w:themeColor="text1"/>
          <w:sz w:val="24"/>
          <w:szCs w:val="24"/>
        </w:rPr>
        <w:t>“</w:t>
      </w:r>
      <w:r w:rsidRPr="001D5F98">
        <w:rPr>
          <w:rFonts w:ascii="Garamond" w:hAnsi="Garamond" w:cs="Arial"/>
          <w:i/>
          <w:iCs/>
          <w:color w:val="000000" w:themeColor="text1"/>
          <w:sz w:val="24"/>
          <w:szCs w:val="24"/>
        </w:rPr>
        <w:t>The following land uses should be accepted as for the ‘purposes of agriculture’ within the meaning of IHTA84/S117</w:t>
      </w:r>
    </w:p>
    <w:p w14:paraId="4098CEAC" w14:textId="77777777" w:rsidR="001D5F98" w:rsidRPr="001D5F98" w:rsidRDefault="001D5F98" w:rsidP="001D5F98">
      <w:pPr>
        <w:pStyle w:val="NormalWeb"/>
        <w:ind w:left="360"/>
        <w:jc w:val="both"/>
        <w:rPr>
          <w:rFonts w:ascii="Garamond" w:hAnsi="Garamond" w:cs="Arial"/>
          <w:i/>
          <w:iCs/>
          <w:color w:val="000000" w:themeColor="text1"/>
          <w:sz w:val="24"/>
          <w:szCs w:val="24"/>
        </w:rPr>
      </w:pPr>
      <w:r w:rsidRPr="001D5F98">
        <w:rPr>
          <w:rFonts w:ascii="Garamond" w:hAnsi="Garamond" w:cs="Arial"/>
          <w:i/>
          <w:iCs/>
          <w:color w:val="000000" w:themeColor="text1"/>
          <w:sz w:val="24"/>
          <w:szCs w:val="24"/>
        </w:rPr>
        <w:t>cultivation to produce food for human and animal consumption – ‘food’ in this context would include, for example, grapes grown to produce wine and apples grown to produce cider,</w:t>
      </w:r>
    </w:p>
    <w:p w14:paraId="413D6218" w14:textId="77777777" w:rsidR="001D5F98" w:rsidRPr="001D5F98" w:rsidRDefault="001D5F98" w:rsidP="001D5F98">
      <w:pPr>
        <w:pStyle w:val="NormalWeb"/>
        <w:ind w:left="360"/>
        <w:jc w:val="both"/>
        <w:rPr>
          <w:rFonts w:ascii="Garamond" w:hAnsi="Garamond" w:cs="Arial"/>
          <w:i/>
          <w:iCs/>
          <w:color w:val="000000" w:themeColor="text1"/>
          <w:sz w:val="24"/>
          <w:szCs w:val="24"/>
        </w:rPr>
      </w:pPr>
      <w:r w:rsidRPr="001D5F98">
        <w:rPr>
          <w:rFonts w:ascii="Garamond" w:hAnsi="Garamond" w:cs="Arial"/>
          <w:i/>
          <w:iCs/>
          <w:color w:val="000000" w:themeColor="text1"/>
          <w:sz w:val="24"/>
          <w:szCs w:val="24"/>
        </w:rPr>
        <w:t>use to support livestock kept to produce food for human consumption, such as meat or milk or other products such as wool,</w:t>
      </w:r>
    </w:p>
    <w:p w14:paraId="6AE902BD" w14:textId="77777777" w:rsidR="001D5F98" w:rsidRPr="001D5F98" w:rsidRDefault="001D5F98" w:rsidP="001D5F98">
      <w:pPr>
        <w:pStyle w:val="NormalWeb"/>
        <w:ind w:left="360"/>
        <w:jc w:val="both"/>
        <w:rPr>
          <w:rFonts w:ascii="Garamond" w:hAnsi="Garamond" w:cs="Arial"/>
          <w:i/>
          <w:iCs/>
          <w:color w:val="000000" w:themeColor="text1"/>
          <w:sz w:val="24"/>
          <w:szCs w:val="24"/>
        </w:rPr>
      </w:pPr>
      <w:r w:rsidRPr="001D5F98">
        <w:rPr>
          <w:rFonts w:ascii="Garamond" w:hAnsi="Garamond" w:cs="Arial"/>
          <w:i/>
          <w:iCs/>
          <w:color w:val="000000" w:themeColor="text1"/>
          <w:sz w:val="24"/>
          <w:szCs w:val="24"/>
        </w:rPr>
        <w:t>the keeping of such other animals as may be found on an ordinary farm, for example, horses kept for farm work,</w:t>
      </w:r>
    </w:p>
    <w:p w14:paraId="081B0C91" w14:textId="77777777" w:rsidR="001D5F98" w:rsidRPr="001D5F98" w:rsidRDefault="001D5F98" w:rsidP="001D5F98">
      <w:pPr>
        <w:pStyle w:val="NormalWeb"/>
        <w:ind w:left="360"/>
        <w:jc w:val="both"/>
        <w:rPr>
          <w:rFonts w:ascii="Garamond" w:hAnsi="Garamond" w:cs="Arial"/>
          <w:i/>
          <w:iCs/>
          <w:color w:val="000000" w:themeColor="text1"/>
          <w:sz w:val="24"/>
          <w:szCs w:val="24"/>
        </w:rPr>
      </w:pPr>
      <w:r w:rsidRPr="001D5F98">
        <w:rPr>
          <w:rFonts w:ascii="Garamond" w:hAnsi="Garamond" w:cs="Arial"/>
          <w:i/>
          <w:iCs/>
          <w:color w:val="000000" w:themeColor="text1"/>
          <w:sz w:val="24"/>
          <w:szCs w:val="24"/>
        </w:rPr>
        <w:t>the breeding and grazing of racehorses on a stud farm. This is not an agricultural purpose (IHTM24068) under general law, but is made one for the purposes of agricultural relief by IHTA84/S115 (4),</w:t>
      </w:r>
    </w:p>
    <w:p w14:paraId="10BDCC8D" w14:textId="77777777" w:rsidR="001D5F98" w:rsidRPr="001D5F98" w:rsidRDefault="001D5F98" w:rsidP="001D5F98">
      <w:pPr>
        <w:pStyle w:val="NormalWeb"/>
        <w:ind w:left="360"/>
        <w:jc w:val="both"/>
        <w:rPr>
          <w:rFonts w:ascii="Garamond" w:hAnsi="Garamond" w:cs="Arial"/>
          <w:i/>
          <w:iCs/>
          <w:color w:val="000000" w:themeColor="text1"/>
          <w:sz w:val="24"/>
          <w:szCs w:val="24"/>
        </w:rPr>
      </w:pPr>
      <w:r w:rsidRPr="001D5F98">
        <w:rPr>
          <w:rFonts w:ascii="Garamond" w:hAnsi="Garamond" w:cs="Arial"/>
          <w:i/>
          <w:iCs/>
          <w:color w:val="000000" w:themeColor="text1"/>
          <w:sz w:val="24"/>
          <w:szCs w:val="24"/>
        </w:rPr>
        <w:t>land set aside for permanent or rotational fallow (IHTM24064)</w:t>
      </w:r>
    </w:p>
    <w:p w14:paraId="5C5D07B3" w14:textId="77777777" w:rsidR="001D5F98" w:rsidRPr="001D5F98" w:rsidRDefault="001D5F98" w:rsidP="001D5F98">
      <w:pPr>
        <w:pStyle w:val="NormalWeb"/>
        <w:ind w:left="360"/>
        <w:jc w:val="both"/>
        <w:rPr>
          <w:rFonts w:ascii="Garamond" w:hAnsi="Garamond" w:cs="Arial"/>
          <w:i/>
          <w:iCs/>
          <w:color w:val="000000" w:themeColor="text1"/>
          <w:sz w:val="24"/>
          <w:szCs w:val="24"/>
        </w:rPr>
      </w:pPr>
      <w:r w:rsidRPr="001D5F98">
        <w:rPr>
          <w:rFonts w:ascii="Garamond" w:hAnsi="Garamond" w:cs="Arial"/>
          <w:i/>
          <w:iCs/>
          <w:color w:val="000000" w:themeColor="text1"/>
          <w:sz w:val="24"/>
          <w:szCs w:val="24"/>
        </w:rPr>
        <w:t>cultivation of short rotation coppice (IHTM24063).</w:t>
      </w:r>
    </w:p>
    <w:p w14:paraId="48DE56C6" w14:textId="43386C24" w:rsidR="001D5F98" w:rsidRPr="001D5F98" w:rsidRDefault="001D5F98" w:rsidP="001D5F98">
      <w:pPr>
        <w:pStyle w:val="NormalWeb"/>
        <w:ind w:left="360"/>
        <w:jc w:val="both"/>
        <w:rPr>
          <w:rFonts w:ascii="Garamond" w:hAnsi="Garamond" w:cs="Arial"/>
          <w:i/>
          <w:iCs/>
          <w:color w:val="000000" w:themeColor="text1"/>
          <w:sz w:val="24"/>
          <w:szCs w:val="24"/>
        </w:rPr>
      </w:pPr>
      <w:r w:rsidRPr="001D5F98">
        <w:rPr>
          <w:rFonts w:ascii="Garamond" w:hAnsi="Garamond" w:cs="Arial"/>
          <w:i/>
          <w:iCs/>
          <w:color w:val="000000" w:themeColor="text1"/>
          <w:sz w:val="24"/>
          <w:szCs w:val="24"/>
        </w:rPr>
        <w:t>Land that is normally used for agricultural purposes may occasionally be used for other purposes. Provided those other purposes are not the primary reason for the occupation of the land, the land should be regarded as occupied ‘for the purposes of agriculture’ when considering a deduction for relief. One example is a normal working farm over which an annual point-to-point horse race is run.</w:t>
      </w:r>
      <w:r>
        <w:rPr>
          <w:rFonts w:ascii="Garamond" w:hAnsi="Garamond" w:cs="Arial"/>
          <w:i/>
          <w:iCs/>
          <w:color w:val="000000" w:themeColor="text1"/>
          <w:sz w:val="24"/>
          <w:szCs w:val="24"/>
        </w:rPr>
        <w:t>”</w:t>
      </w:r>
    </w:p>
    <w:p w14:paraId="5063455B" w14:textId="5569FB7C" w:rsidR="001D5F98" w:rsidRPr="008E0C0F" w:rsidRDefault="00F93501" w:rsidP="001934E0">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What is not agricultural? Keeping birds or animals for sport (see </w:t>
      </w:r>
      <w:r w:rsidR="00260DC5" w:rsidRPr="00260DC5">
        <w:rPr>
          <w:rFonts w:ascii="Garamond" w:hAnsi="Garamond" w:cs="Arial"/>
          <w:i/>
          <w:iCs/>
          <w:color w:val="000000" w:themeColor="text1"/>
          <w:sz w:val="24"/>
          <w:szCs w:val="24"/>
        </w:rPr>
        <w:t>Earl of Normanton v Giles</w:t>
      </w:r>
      <w:r w:rsidR="00260DC5" w:rsidRPr="00260DC5">
        <w:rPr>
          <w:rFonts w:ascii="Garamond" w:hAnsi="Garamond" w:cs="Arial"/>
          <w:color w:val="000000" w:themeColor="text1"/>
          <w:sz w:val="24"/>
          <w:szCs w:val="24"/>
        </w:rPr>
        <w:t xml:space="preserve"> [1980] 1 WLR 28</w:t>
      </w:r>
      <w:r w:rsidR="00260DC5">
        <w:rPr>
          <w:rFonts w:ascii="Garamond" w:hAnsi="Garamond" w:cs="Arial"/>
          <w:color w:val="000000" w:themeColor="text1"/>
          <w:sz w:val="24"/>
          <w:szCs w:val="24"/>
        </w:rPr>
        <w:t xml:space="preserve">) or horse grazing (see </w:t>
      </w:r>
      <w:r w:rsidR="00DF4D8F" w:rsidRPr="00DF4D8F">
        <w:rPr>
          <w:rFonts w:ascii="Garamond" w:hAnsi="Garamond" w:cs="Arial"/>
          <w:i/>
          <w:iCs/>
          <w:color w:val="000000" w:themeColor="text1"/>
          <w:sz w:val="24"/>
          <w:szCs w:val="24"/>
        </w:rPr>
        <w:t>Hemens v Whitsbury Farm Ltd</w:t>
      </w:r>
      <w:r w:rsidR="00DF4D8F" w:rsidRPr="00DF4D8F">
        <w:rPr>
          <w:rFonts w:ascii="Garamond" w:hAnsi="Garamond" w:cs="Arial"/>
          <w:color w:val="000000" w:themeColor="text1"/>
          <w:sz w:val="24"/>
          <w:szCs w:val="24"/>
        </w:rPr>
        <w:t xml:space="preserve"> [1987] 1 AER 430</w:t>
      </w:r>
      <w:r w:rsidR="00DF4D8F">
        <w:rPr>
          <w:rFonts w:ascii="Garamond" w:hAnsi="Garamond" w:cs="Arial"/>
          <w:color w:val="000000" w:themeColor="text1"/>
          <w:sz w:val="24"/>
          <w:szCs w:val="24"/>
        </w:rPr>
        <w:t xml:space="preserve">). </w:t>
      </w:r>
      <w:r w:rsidR="00F45438">
        <w:rPr>
          <w:rFonts w:ascii="Garamond" w:hAnsi="Garamond" w:cs="Arial"/>
          <w:color w:val="000000" w:themeColor="text1"/>
          <w:sz w:val="24"/>
          <w:szCs w:val="24"/>
        </w:rPr>
        <w:t xml:space="preserve">It is important to remember that this can also be a matter of fact and degree: in </w:t>
      </w:r>
      <w:r w:rsidR="00F45438" w:rsidRPr="000F3FE6">
        <w:rPr>
          <w:rFonts w:ascii="Garamond" w:hAnsi="Garamond" w:cs="Arial"/>
          <w:i/>
          <w:iCs/>
          <w:color w:val="000000" w:themeColor="text1"/>
          <w:sz w:val="24"/>
          <w:szCs w:val="24"/>
        </w:rPr>
        <w:t>Dixon v HMRC</w:t>
      </w:r>
      <w:r w:rsidR="00F45438">
        <w:rPr>
          <w:rFonts w:ascii="Garamond" w:hAnsi="Garamond" w:cs="Arial"/>
          <w:color w:val="000000" w:themeColor="text1"/>
          <w:sz w:val="24"/>
          <w:szCs w:val="24"/>
        </w:rPr>
        <w:t xml:space="preserve"> [2001] UK SPC 00297</w:t>
      </w:r>
      <w:r w:rsidR="008E0C0F">
        <w:rPr>
          <w:rFonts w:ascii="Garamond" w:hAnsi="Garamond" w:cs="Arial"/>
          <w:color w:val="000000" w:themeColor="text1"/>
          <w:sz w:val="24"/>
          <w:szCs w:val="24"/>
        </w:rPr>
        <w:t xml:space="preserve"> (“</w:t>
      </w:r>
      <w:r w:rsidR="008E0C0F" w:rsidRPr="008E0C0F">
        <w:rPr>
          <w:rFonts w:ascii="Garamond" w:hAnsi="Garamond" w:cs="Arial"/>
          <w:b/>
          <w:bCs/>
          <w:i/>
          <w:iCs/>
          <w:color w:val="000000" w:themeColor="text1"/>
          <w:sz w:val="24"/>
          <w:szCs w:val="24"/>
        </w:rPr>
        <w:t>Dixon</w:t>
      </w:r>
      <w:r w:rsidR="008E0C0F">
        <w:rPr>
          <w:rFonts w:ascii="Garamond" w:hAnsi="Garamond" w:cs="Arial"/>
          <w:color w:val="000000" w:themeColor="text1"/>
          <w:sz w:val="24"/>
          <w:szCs w:val="24"/>
        </w:rPr>
        <w:t>”)</w:t>
      </w:r>
      <w:r w:rsidR="00F45438">
        <w:rPr>
          <w:rFonts w:ascii="Garamond" w:hAnsi="Garamond" w:cs="Arial"/>
          <w:color w:val="000000" w:themeColor="text1"/>
          <w:sz w:val="24"/>
          <w:szCs w:val="24"/>
        </w:rPr>
        <w:t xml:space="preserve">, it was held that a property which consisted of a cottage, garden and orchard with excess fruit sold from the trees for less than £100 per year was not </w:t>
      </w:r>
      <w:r w:rsidR="00E2296B">
        <w:rPr>
          <w:rFonts w:ascii="Garamond" w:hAnsi="Garamond" w:cs="Arial"/>
          <w:color w:val="000000" w:themeColor="text1"/>
          <w:sz w:val="24"/>
          <w:szCs w:val="24"/>
        </w:rPr>
        <w:t xml:space="preserve">agricultural for the purposes of the relief. </w:t>
      </w:r>
    </w:p>
    <w:p w14:paraId="33AC5C8D" w14:textId="77777777" w:rsidR="008E0C0F" w:rsidRPr="00E2296B" w:rsidRDefault="008E0C0F" w:rsidP="008E0C0F">
      <w:pPr>
        <w:pStyle w:val="NormalWeb"/>
        <w:ind w:left="360"/>
        <w:jc w:val="both"/>
        <w:rPr>
          <w:rFonts w:ascii="Garamond" w:hAnsi="Garamond" w:cs="Arial"/>
          <w:i/>
          <w:iCs/>
          <w:color w:val="000000" w:themeColor="text1"/>
          <w:sz w:val="24"/>
          <w:szCs w:val="24"/>
        </w:rPr>
      </w:pPr>
    </w:p>
    <w:p w14:paraId="1D2660A1" w14:textId="44AEEA6F" w:rsidR="00E2296B" w:rsidRPr="00E2296B" w:rsidRDefault="00E2296B" w:rsidP="00E2296B">
      <w:pPr>
        <w:pStyle w:val="Heading3"/>
        <w:rPr>
          <w:rFonts w:ascii="Garamond" w:hAnsi="Garamond"/>
          <w:b/>
          <w:bCs/>
          <w:i/>
          <w:iCs/>
          <w:color w:val="000000" w:themeColor="text1"/>
          <w:sz w:val="24"/>
          <w:szCs w:val="24"/>
          <w:u w:val="single"/>
        </w:rPr>
      </w:pPr>
      <w:r w:rsidRPr="00E2296B">
        <w:rPr>
          <w:rFonts w:ascii="Garamond" w:hAnsi="Garamond"/>
          <w:b/>
          <w:bCs/>
          <w:i/>
          <w:iCs/>
          <w:color w:val="000000" w:themeColor="text1"/>
          <w:sz w:val="24"/>
          <w:szCs w:val="24"/>
          <w:u w:val="single"/>
        </w:rPr>
        <w:t>The farmhouse:</w:t>
      </w:r>
    </w:p>
    <w:p w14:paraId="7C375784" w14:textId="02E59E2B" w:rsidR="00E2296B" w:rsidRPr="00622934" w:rsidRDefault="00622934" w:rsidP="001934E0">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What is an is not a farmhouse has generated significant case law</w:t>
      </w:r>
      <w:r w:rsidR="00751238">
        <w:rPr>
          <w:rFonts w:ascii="Garamond" w:hAnsi="Garamond" w:cs="Arial"/>
          <w:color w:val="000000" w:themeColor="text1"/>
          <w:sz w:val="24"/>
          <w:szCs w:val="24"/>
        </w:rPr>
        <w:t>, as there is no definition in section 115(2) IHTA 1984:</w:t>
      </w:r>
    </w:p>
    <w:p w14:paraId="366352F7" w14:textId="004D8EF3" w:rsidR="00622934" w:rsidRPr="005D5FE3" w:rsidRDefault="00751238" w:rsidP="00622934">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We learn from </w:t>
      </w:r>
      <w:r w:rsidRPr="005D5FE3">
        <w:rPr>
          <w:rFonts w:ascii="Garamond" w:hAnsi="Garamond" w:cs="Arial"/>
          <w:i/>
          <w:iCs/>
          <w:color w:val="000000" w:themeColor="text1"/>
          <w:sz w:val="24"/>
          <w:szCs w:val="24"/>
        </w:rPr>
        <w:t>CIR v Whiteford</w:t>
      </w:r>
      <w:r>
        <w:rPr>
          <w:rFonts w:ascii="Garamond" w:hAnsi="Garamond" w:cs="Arial"/>
          <w:color w:val="000000" w:themeColor="text1"/>
          <w:sz w:val="24"/>
          <w:szCs w:val="24"/>
        </w:rPr>
        <w:t xml:space="preserve"> [1962] </w:t>
      </w:r>
      <w:r w:rsidR="005D5FE3">
        <w:rPr>
          <w:rFonts w:ascii="Garamond" w:hAnsi="Garamond" w:cs="Arial"/>
          <w:color w:val="000000" w:themeColor="text1"/>
          <w:sz w:val="24"/>
          <w:szCs w:val="24"/>
        </w:rPr>
        <w:t>TR</w:t>
      </w:r>
      <w:r>
        <w:rPr>
          <w:rFonts w:ascii="Garamond" w:hAnsi="Garamond" w:cs="Arial"/>
          <w:color w:val="000000" w:themeColor="text1"/>
          <w:sz w:val="24"/>
          <w:szCs w:val="24"/>
        </w:rPr>
        <w:t xml:space="preserve"> 157 </w:t>
      </w:r>
      <w:r w:rsidR="005D5FE3">
        <w:rPr>
          <w:rFonts w:ascii="Garamond" w:hAnsi="Garamond" w:cs="Arial"/>
          <w:color w:val="000000" w:themeColor="text1"/>
          <w:sz w:val="24"/>
          <w:szCs w:val="24"/>
        </w:rPr>
        <w:t>and</w:t>
      </w:r>
      <w:r>
        <w:rPr>
          <w:rFonts w:ascii="Garamond" w:hAnsi="Garamond" w:cs="Arial"/>
          <w:color w:val="000000" w:themeColor="text1"/>
          <w:sz w:val="24"/>
          <w:szCs w:val="24"/>
        </w:rPr>
        <w:t xml:space="preserve"> </w:t>
      </w:r>
      <w:r w:rsidRPr="005D5FE3">
        <w:rPr>
          <w:rFonts w:ascii="Garamond" w:hAnsi="Garamond" w:cs="Arial"/>
          <w:i/>
          <w:iCs/>
          <w:color w:val="000000" w:themeColor="text1"/>
          <w:sz w:val="24"/>
          <w:szCs w:val="24"/>
        </w:rPr>
        <w:t xml:space="preserve">Rosser </w:t>
      </w:r>
      <w:r w:rsidR="005D5FE3" w:rsidRPr="005D5FE3">
        <w:rPr>
          <w:rFonts w:ascii="Garamond" w:hAnsi="Garamond" w:cs="Arial"/>
          <w:i/>
          <w:iCs/>
          <w:color w:val="000000" w:themeColor="text1"/>
          <w:sz w:val="24"/>
          <w:szCs w:val="24"/>
        </w:rPr>
        <w:t>v IRC</w:t>
      </w:r>
      <w:r w:rsidR="005D5FE3">
        <w:rPr>
          <w:rFonts w:ascii="Garamond" w:hAnsi="Garamond" w:cs="Arial"/>
          <w:color w:val="000000" w:themeColor="text1"/>
          <w:sz w:val="24"/>
          <w:szCs w:val="24"/>
        </w:rPr>
        <w:t xml:space="preserve"> [2003] WTLR 1057 </w:t>
      </w:r>
      <w:r w:rsidR="00AF3123">
        <w:rPr>
          <w:rFonts w:ascii="Garamond" w:hAnsi="Garamond" w:cs="Arial"/>
          <w:color w:val="000000" w:themeColor="text1"/>
          <w:sz w:val="24"/>
          <w:szCs w:val="24"/>
        </w:rPr>
        <w:t>(“</w:t>
      </w:r>
      <w:r w:rsidR="00AF3123" w:rsidRPr="00AF3123">
        <w:rPr>
          <w:rFonts w:ascii="Garamond" w:hAnsi="Garamond" w:cs="Arial"/>
          <w:b/>
          <w:bCs/>
          <w:i/>
          <w:iCs/>
          <w:color w:val="000000" w:themeColor="text1"/>
          <w:sz w:val="24"/>
          <w:szCs w:val="24"/>
        </w:rPr>
        <w:t>Rosser</w:t>
      </w:r>
      <w:r w:rsidR="00AF3123">
        <w:rPr>
          <w:rFonts w:ascii="Garamond" w:hAnsi="Garamond" w:cs="Arial"/>
          <w:color w:val="000000" w:themeColor="text1"/>
          <w:sz w:val="24"/>
          <w:szCs w:val="24"/>
        </w:rPr>
        <w:t xml:space="preserve">”) </w:t>
      </w:r>
      <w:r w:rsidR="005D5FE3">
        <w:rPr>
          <w:rFonts w:ascii="Garamond" w:hAnsi="Garamond" w:cs="Arial"/>
          <w:color w:val="000000" w:themeColor="text1"/>
          <w:sz w:val="24"/>
          <w:szCs w:val="24"/>
        </w:rPr>
        <w:t xml:space="preserve">that a farmhouse in effect, where a farmer lives (the former setting out that it is the place from which the farming operations are conducted, and the latter that it is a dwelling for the farmer from which the farm is managed). </w:t>
      </w:r>
    </w:p>
    <w:p w14:paraId="7330A2C1" w14:textId="6F4694DF" w:rsidR="005D5FE3" w:rsidRPr="00B43B28" w:rsidRDefault="005D5FE3" w:rsidP="00622934">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lastRenderedPageBreak/>
        <w:t xml:space="preserve">Who then is the farmer? </w:t>
      </w:r>
      <w:r w:rsidR="00F4791E">
        <w:rPr>
          <w:rFonts w:ascii="Garamond" w:hAnsi="Garamond" w:cs="Arial"/>
          <w:color w:val="000000" w:themeColor="text1"/>
          <w:sz w:val="24"/>
          <w:szCs w:val="24"/>
        </w:rPr>
        <w:t xml:space="preserve">It is the person who lives in the farmhouse in order to farm the land. In </w:t>
      </w:r>
      <w:r w:rsidR="00F4791E" w:rsidRPr="00B43B28">
        <w:rPr>
          <w:rFonts w:ascii="Garamond" w:hAnsi="Garamond" w:cs="Arial"/>
          <w:i/>
          <w:iCs/>
          <w:color w:val="000000" w:themeColor="text1"/>
          <w:sz w:val="24"/>
          <w:szCs w:val="24"/>
        </w:rPr>
        <w:t>Lloyds TSB Banking v IRC</w:t>
      </w:r>
      <w:r w:rsidR="00F4791E">
        <w:rPr>
          <w:rFonts w:ascii="Garamond" w:hAnsi="Garamond" w:cs="Arial"/>
          <w:color w:val="000000" w:themeColor="text1"/>
          <w:sz w:val="24"/>
          <w:szCs w:val="24"/>
        </w:rPr>
        <w:t xml:space="preserve"> [2005] WTLR 1535, it was held that </w:t>
      </w:r>
      <w:r w:rsidR="00B43B28">
        <w:rPr>
          <w:rFonts w:ascii="Garamond" w:hAnsi="Garamond" w:cs="Arial"/>
          <w:color w:val="000000" w:themeColor="text1"/>
          <w:sz w:val="24"/>
          <w:szCs w:val="24"/>
        </w:rPr>
        <w:t xml:space="preserve">a house is not necessarily a farmhouse just because a person lives there who is in overall control of the agricultural business conducted on the land. </w:t>
      </w:r>
    </w:p>
    <w:p w14:paraId="40FE6B48" w14:textId="492D2F11" w:rsidR="00B43B28" w:rsidRPr="001607CB" w:rsidRDefault="00B43B28" w:rsidP="00622934">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The distinction between a licen</w:t>
      </w:r>
      <w:r w:rsidR="00282D60">
        <w:rPr>
          <w:rFonts w:ascii="Garamond" w:hAnsi="Garamond" w:cs="Arial"/>
          <w:color w:val="000000" w:themeColor="text1"/>
          <w:sz w:val="24"/>
          <w:szCs w:val="24"/>
        </w:rPr>
        <w:t>ce and a tenancy is important: if a grazing license becomes a tenant, it may be difficult to argue that the occupier of the farmhouse is the farmer</w:t>
      </w:r>
      <w:r w:rsidR="00D4283C">
        <w:rPr>
          <w:rFonts w:ascii="Garamond" w:hAnsi="Garamond" w:cs="Arial"/>
          <w:color w:val="000000" w:themeColor="text1"/>
          <w:sz w:val="24"/>
          <w:szCs w:val="24"/>
        </w:rPr>
        <w:t>. This is borne out by HMRC’s Manual at IHTM24073</w:t>
      </w:r>
      <w:r w:rsidR="001607CB">
        <w:rPr>
          <w:rFonts w:ascii="Garamond" w:hAnsi="Garamond" w:cs="Arial"/>
          <w:color w:val="000000" w:themeColor="text1"/>
          <w:sz w:val="24"/>
          <w:szCs w:val="24"/>
        </w:rPr>
        <w:t>, which states their view is that:</w:t>
      </w:r>
    </w:p>
    <w:p w14:paraId="6808D7D3" w14:textId="02DD1120" w:rsidR="00FD0B7C" w:rsidRPr="004122B4" w:rsidRDefault="001607CB" w:rsidP="004122B4">
      <w:pPr>
        <w:pStyle w:val="NormalWeb"/>
        <w:ind w:left="792"/>
        <w:jc w:val="both"/>
        <w:rPr>
          <w:rFonts w:ascii="Garamond" w:hAnsi="Garamond" w:cs="Arial"/>
          <w:i/>
          <w:iCs/>
          <w:color w:val="000000" w:themeColor="text1"/>
          <w:sz w:val="24"/>
          <w:szCs w:val="24"/>
        </w:rPr>
      </w:pPr>
      <w:r>
        <w:rPr>
          <w:rFonts w:ascii="Garamond" w:hAnsi="Garamond" w:cs="Arial"/>
          <w:i/>
          <w:iCs/>
          <w:color w:val="000000" w:themeColor="text1"/>
          <w:sz w:val="24"/>
          <w:szCs w:val="24"/>
        </w:rPr>
        <w:t>“</w:t>
      </w:r>
      <w:r w:rsidRPr="001607CB">
        <w:rPr>
          <w:rFonts w:ascii="Garamond" w:hAnsi="Garamond" w:cs="Arial"/>
          <w:i/>
          <w:iCs/>
          <w:color w:val="000000" w:themeColor="text1"/>
          <w:sz w:val="24"/>
          <w:szCs w:val="24"/>
        </w:rPr>
        <w:t>Where land is let to a third party under a grazing licence or agreement the owner is unlikely to be in occupation for agricultural purposes of that land during the period of the licence. This may have an impact on whether agricultural relief is available on the farmhouse (IHTM24074). Where a grazier occupies land for agricultural purposes the ownership test under IHTA84/S117(b) will need to be satisfied.</w:t>
      </w:r>
      <w:r>
        <w:rPr>
          <w:rFonts w:ascii="Garamond" w:hAnsi="Garamond" w:cs="Arial"/>
          <w:i/>
          <w:iCs/>
          <w:color w:val="000000" w:themeColor="text1"/>
          <w:sz w:val="24"/>
          <w:szCs w:val="24"/>
        </w:rPr>
        <w:t>”</w:t>
      </w:r>
    </w:p>
    <w:p w14:paraId="10C63C55" w14:textId="13E07AE7" w:rsidR="00F331C6" w:rsidRPr="005E761C" w:rsidRDefault="004122B4" w:rsidP="00F331C6">
      <w:pPr>
        <w:pStyle w:val="NormalWeb"/>
        <w:numPr>
          <w:ilvl w:val="1"/>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A useful case which can demonstrate the issues which arise when a farmer takes a back seat</w:t>
      </w:r>
      <w:r w:rsidR="00C71E72">
        <w:rPr>
          <w:rStyle w:val="FootnoteReference"/>
          <w:rFonts w:ascii="Garamond" w:hAnsi="Garamond" w:cs="Arial"/>
          <w:color w:val="000000" w:themeColor="text1"/>
          <w:sz w:val="24"/>
          <w:szCs w:val="24"/>
        </w:rPr>
        <w:footnoteReference w:id="3"/>
      </w:r>
      <w:r>
        <w:rPr>
          <w:rFonts w:ascii="Garamond" w:hAnsi="Garamond" w:cs="Arial"/>
          <w:color w:val="000000" w:themeColor="text1"/>
          <w:sz w:val="24"/>
          <w:szCs w:val="24"/>
        </w:rPr>
        <w:t xml:space="preserve"> is </w:t>
      </w:r>
      <w:r w:rsidRPr="0069251F">
        <w:rPr>
          <w:rFonts w:ascii="Garamond" w:hAnsi="Garamond" w:cs="Arial"/>
          <w:i/>
          <w:iCs/>
          <w:color w:val="000000" w:themeColor="text1"/>
          <w:sz w:val="24"/>
          <w:szCs w:val="24"/>
        </w:rPr>
        <w:t xml:space="preserve">Arnander </w:t>
      </w:r>
      <w:r w:rsidR="00F331C6" w:rsidRPr="0069251F">
        <w:rPr>
          <w:rFonts w:ascii="Garamond" w:hAnsi="Garamond" w:cs="Arial"/>
          <w:i/>
          <w:iCs/>
          <w:color w:val="000000" w:themeColor="text1"/>
          <w:sz w:val="24"/>
          <w:szCs w:val="24"/>
        </w:rPr>
        <w:t>v HMRC</w:t>
      </w:r>
      <w:r w:rsidR="00F331C6">
        <w:rPr>
          <w:rFonts w:ascii="Garamond" w:hAnsi="Garamond" w:cs="Arial"/>
          <w:color w:val="000000" w:themeColor="text1"/>
          <w:sz w:val="24"/>
          <w:szCs w:val="24"/>
        </w:rPr>
        <w:t xml:space="preserve"> [2006] UKSPC 565</w:t>
      </w:r>
      <w:r w:rsidR="005E761C">
        <w:rPr>
          <w:rFonts w:ascii="Garamond" w:hAnsi="Garamond" w:cs="Arial"/>
          <w:color w:val="000000" w:themeColor="text1"/>
          <w:sz w:val="24"/>
          <w:szCs w:val="24"/>
        </w:rPr>
        <w:t>:</w:t>
      </w:r>
    </w:p>
    <w:p w14:paraId="3D02EE94" w14:textId="77D7F5B8" w:rsidR="005E761C" w:rsidRDefault="005E761C" w:rsidP="005E761C">
      <w:pPr>
        <w:pStyle w:val="NormalWeb"/>
        <w:ind w:left="792"/>
        <w:jc w:val="both"/>
        <w:rPr>
          <w:rFonts w:ascii="Garamond" w:hAnsi="Garamond" w:cs="Arial"/>
          <w:i/>
          <w:iCs/>
          <w:color w:val="000000" w:themeColor="text1"/>
          <w:sz w:val="24"/>
          <w:szCs w:val="24"/>
        </w:rPr>
      </w:pPr>
      <w:r w:rsidRPr="005E761C">
        <w:rPr>
          <w:rFonts w:ascii="Garamond" w:hAnsi="Garamond" w:cs="Arial"/>
          <w:i/>
          <w:iCs/>
          <w:color w:val="000000" w:themeColor="text1"/>
          <w:sz w:val="24"/>
          <w:szCs w:val="24"/>
        </w:rPr>
        <w:t xml:space="preserve">88.  From those authorities I derive the following principles. That a farmhouse is a dwelling for the farmer from which the farm is managed ( Rosser ); that the farmer of the land is the person who farms it on a day-to-day basis rather </w:t>
      </w:r>
      <w:proofErr w:type="spellStart"/>
      <w:r w:rsidRPr="005E761C">
        <w:rPr>
          <w:rFonts w:ascii="Garamond" w:hAnsi="Garamond" w:cs="Arial"/>
          <w:i/>
          <w:iCs/>
          <w:color w:val="000000" w:themeColor="text1"/>
          <w:sz w:val="24"/>
          <w:szCs w:val="24"/>
        </w:rPr>
        <w:t>then</w:t>
      </w:r>
      <w:proofErr w:type="spellEnd"/>
      <w:r w:rsidRPr="005E761C">
        <w:rPr>
          <w:rFonts w:ascii="Garamond" w:hAnsi="Garamond" w:cs="Arial"/>
          <w:i/>
          <w:iCs/>
          <w:color w:val="000000" w:themeColor="text1"/>
          <w:sz w:val="24"/>
          <w:szCs w:val="24"/>
        </w:rPr>
        <w:t xml:space="preserve"> the person who is in overall control of the agricultural business conducted on the land ( Antrobus 2 and Lindsay ); that the status of the occupier of the premises is not the test but the proper criterion is the purpose of the occupation of the premises ( Whiteford ); however, if the premises are extravagantly large for the purpose for which they are being used, or if they have been constructed upon some more elaborate and expensive scale, it may be that, notwithstanding the purpose of occupation, they should be treated as having been converted into something much more grand ( Whiteford ); and that the decision as to whether a building is a farmhouse is a matter of fact to be decided on the circumstances of each case and must be judged in accordance with ordinary ideas of what is appropriate in size, content and layout, taken in conjunction with the farm buildings and the particular area of farm being farmed ( Korner</w:t>
      </w:r>
      <w:r>
        <w:rPr>
          <w:rFonts w:ascii="Garamond" w:hAnsi="Garamond" w:cs="Arial"/>
          <w:i/>
          <w:iCs/>
          <w:color w:val="000000" w:themeColor="text1"/>
          <w:sz w:val="24"/>
          <w:szCs w:val="24"/>
        </w:rPr>
        <w:t>)</w:t>
      </w:r>
    </w:p>
    <w:p w14:paraId="50DACFDE" w14:textId="356B56C8" w:rsidR="005E761C" w:rsidRDefault="005E761C" w:rsidP="005E761C">
      <w:pPr>
        <w:pStyle w:val="NormalWeb"/>
        <w:ind w:left="792"/>
        <w:jc w:val="both"/>
        <w:rPr>
          <w:rFonts w:ascii="Garamond" w:hAnsi="Garamond" w:cs="Arial"/>
          <w:i/>
          <w:iCs/>
          <w:color w:val="000000" w:themeColor="text1"/>
          <w:sz w:val="24"/>
          <w:szCs w:val="24"/>
        </w:rPr>
      </w:pPr>
      <w:r>
        <w:rPr>
          <w:rFonts w:ascii="Garamond" w:hAnsi="Garamond" w:cs="Arial"/>
          <w:i/>
          <w:iCs/>
          <w:color w:val="000000" w:themeColor="text1"/>
          <w:sz w:val="24"/>
          <w:szCs w:val="24"/>
        </w:rPr>
        <w:t>…</w:t>
      </w:r>
    </w:p>
    <w:p w14:paraId="2E87AAD8" w14:textId="13AD59CD" w:rsidR="005E761C" w:rsidRPr="005E761C" w:rsidRDefault="00020092" w:rsidP="005E761C">
      <w:pPr>
        <w:pStyle w:val="NormalWeb"/>
        <w:ind w:left="792"/>
        <w:jc w:val="both"/>
        <w:rPr>
          <w:rFonts w:ascii="Garamond" w:hAnsi="Garamond" w:cs="Arial"/>
          <w:i/>
          <w:iCs/>
          <w:color w:val="000000" w:themeColor="text1"/>
          <w:sz w:val="24"/>
          <w:szCs w:val="24"/>
        </w:rPr>
      </w:pPr>
      <w:r>
        <w:rPr>
          <w:rFonts w:ascii="Garamond" w:hAnsi="Garamond" w:cs="Arial"/>
          <w:i/>
          <w:iCs/>
          <w:color w:val="000000" w:themeColor="text1"/>
          <w:sz w:val="24"/>
          <w:szCs w:val="24"/>
        </w:rPr>
        <w:t xml:space="preserve">92. </w:t>
      </w:r>
      <w:r w:rsidRPr="00020092">
        <w:rPr>
          <w:rFonts w:ascii="Garamond" w:hAnsi="Garamond" w:cs="Arial"/>
          <w:i/>
          <w:iCs/>
          <w:color w:val="000000" w:themeColor="text1"/>
          <w:sz w:val="24"/>
          <w:szCs w:val="24"/>
        </w:rPr>
        <w:t xml:space="preserve">In my view, as a matter of fact in these appeals, </w:t>
      </w:r>
      <w:proofErr w:type="spellStart"/>
      <w:r w:rsidRPr="00020092">
        <w:rPr>
          <w:rFonts w:ascii="Garamond" w:hAnsi="Garamond" w:cs="Arial"/>
          <w:i/>
          <w:iCs/>
          <w:color w:val="000000" w:themeColor="text1"/>
          <w:sz w:val="24"/>
          <w:szCs w:val="24"/>
        </w:rPr>
        <w:t>Rosteague</w:t>
      </w:r>
      <w:proofErr w:type="spellEnd"/>
      <w:r w:rsidRPr="00020092">
        <w:rPr>
          <w:rFonts w:ascii="Garamond" w:hAnsi="Garamond" w:cs="Arial"/>
          <w:i/>
          <w:iCs/>
          <w:color w:val="000000" w:themeColor="text1"/>
          <w:sz w:val="24"/>
          <w:szCs w:val="24"/>
        </w:rPr>
        <w:t xml:space="preserve"> House was not the main dwelling from which the agricultural operations over the land were conducted and managed. The day to day management and all acts of farm husbandry over the land were solely the responsibility of the contractors and the management of the contractors was carried out by Mr Fletcher. I agree that Mr Fletcher managed the farm as the agent for the </w:t>
      </w:r>
      <w:proofErr w:type="spellStart"/>
      <w:r w:rsidRPr="00020092">
        <w:rPr>
          <w:rFonts w:ascii="Garamond" w:hAnsi="Garamond" w:cs="Arial"/>
          <w:i/>
          <w:iCs/>
          <w:color w:val="000000" w:themeColor="text1"/>
          <w:sz w:val="24"/>
          <w:szCs w:val="24"/>
        </w:rPr>
        <w:t>McKennas</w:t>
      </w:r>
      <w:proofErr w:type="spellEnd"/>
      <w:r w:rsidRPr="00020092">
        <w:rPr>
          <w:rFonts w:ascii="Garamond" w:hAnsi="Garamond" w:cs="Arial"/>
          <w:i/>
          <w:iCs/>
          <w:color w:val="000000" w:themeColor="text1"/>
          <w:sz w:val="24"/>
          <w:szCs w:val="24"/>
        </w:rPr>
        <w:t xml:space="preserve"> but the fact remains that the instruction of Mr Fletcher meant that the use of </w:t>
      </w:r>
      <w:proofErr w:type="spellStart"/>
      <w:r w:rsidRPr="00020092">
        <w:rPr>
          <w:rFonts w:ascii="Garamond" w:hAnsi="Garamond" w:cs="Arial"/>
          <w:i/>
          <w:iCs/>
          <w:color w:val="000000" w:themeColor="text1"/>
          <w:sz w:val="24"/>
          <w:szCs w:val="24"/>
        </w:rPr>
        <w:t>Rosteague</w:t>
      </w:r>
      <w:proofErr w:type="spellEnd"/>
      <w:r w:rsidRPr="00020092">
        <w:rPr>
          <w:rFonts w:ascii="Garamond" w:hAnsi="Garamond" w:cs="Arial"/>
          <w:i/>
          <w:iCs/>
          <w:color w:val="000000" w:themeColor="text1"/>
          <w:sz w:val="24"/>
          <w:szCs w:val="24"/>
        </w:rPr>
        <w:t xml:space="preserve"> House for farming matters was very much reduced. If the farmer of the land is the person who farms it on a day-to-day basis rather than the person who is in overall control of the agricultural business conducted on the land then Mr McKenna was not the farmer. The purpose of his occupation of </w:t>
      </w:r>
      <w:proofErr w:type="spellStart"/>
      <w:r w:rsidRPr="00020092">
        <w:rPr>
          <w:rFonts w:ascii="Garamond" w:hAnsi="Garamond" w:cs="Arial"/>
          <w:i/>
          <w:iCs/>
          <w:color w:val="000000" w:themeColor="text1"/>
          <w:sz w:val="24"/>
          <w:szCs w:val="24"/>
        </w:rPr>
        <w:t>Rosteague</w:t>
      </w:r>
      <w:proofErr w:type="spellEnd"/>
      <w:r w:rsidRPr="00020092">
        <w:rPr>
          <w:rFonts w:ascii="Garamond" w:hAnsi="Garamond" w:cs="Arial"/>
          <w:i/>
          <w:iCs/>
          <w:color w:val="000000" w:themeColor="text1"/>
          <w:sz w:val="24"/>
          <w:szCs w:val="24"/>
        </w:rPr>
        <w:t xml:space="preserve"> House was not to undertake the day to day farming activities. In any event, in my view </w:t>
      </w:r>
      <w:proofErr w:type="spellStart"/>
      <w:r w:rsidRPr="00020092">
        <w:rPr>
          <w:rFonts w:ascii="Garamond" w:hAnsi="Garamond" w:cs="Arial"/>
          <w:i/>
          <w:iCs/>
          <w:color w:val="000000" w:themeColor="text1"/>
          <w:sz w:val="24"/>
          <w:szCs w:val="24"/>
        </w:rPr>
        <w:t>Rosteague</w:t>
      </w:r>
      <w:proofErr w:type="spellEnd"/>
      <w:r w:rsidRPr="00020092">
        <w:rPr>
          <w:rFonts w:ascii="Garamond" w:hAnsi="Garamond" w:cs="Arial"/>
          <w:i/>
          <w:iCs/>
          <w:color w:val="000000" w:themeColor="text1"/>
          <w:sz w:val="24"/>
          <w:szCs w:val="24"/>
        </w:rPr>
        <w:t xml:space="preserve"> House was larger, grander, more elaborate and more expensive than was required for the reduced farming purposes for which it was in fact used. Its size, content and layout, taken in conjunction with the </w:t>
      </w:r>
      <w:r w:rsidRPr="00020092">
        <w:rPr>
          <w:rFonts w:ascii="Garamond" w:hAnsi="Garamond" w:cs="Arial"/>
          <w:i/>
          <w:iCs/>
          <w:color w:val="000000" w:themeColor="text1"/>
          <w:sz w:val="24"/>
          <w:szCs w:val="24"/>
        </w:rPr>
        <w:lastRenderedPageBreak/>
        <w:t>farm buildings and the particular area of farm being farmed points to the conclusion that it was primarily a rich man's residence rather than a farmhouse.</w:t>
      </w:r>
    </w:p>
    <w:p w14:paraId="5B61BC79" w14:textId="79DA92DD" w:rsidR="005E761C" w:rsidRPr="002254C0" w:rsidRDefault="002254C0" w:rsidP="001C3B76">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Once established that there is a farmhouse, it then has to meet the ownership conditions (see below), and additionally, it has to meet the “character appropriate” test. </w:t>
      </w:r>
    </w:p>
    <w:p w14:paraId="4D92E976" w14:textId="77777777" w:rsidR="00D37437" w:rsidRDefault="002254C0" w:rsidP="00D37437">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The “character appropriate” test </w:t>
      </w:r>
      <w:r w:rsidR="0001107E">
        <w:rPr>
          <w:rFonts w:ascii="Garamond" w:hAnsi="Garamond" w:cs="Arial"/>
          <w:color w:val="000000" w:themeColor="text1"/>
          <w:sz w:val="24"/>
          <w:szCs w:val="24"/>
        </w:rPr>
        <w:t xml:space="preserve">requires a consideration both of the agricultural land to be taken into consideration, and also, when is </w:t>
      </w:r>
      <w:r w:rsidR="00554978">
        <w:rPr>
          <w:rFonts w:ascii="Garamond" w:hAnsi="Garamond" w:cs="Arial"/>
          <w:color w:val="000000" w:themeColor="text1"/>
          <w:sz w:val="24"/>
          <w:szCs w:val="24"/>
        </w:rPr>
        <w:t xml:space="preserve">the farmhouse itself </w:t>
      </w:r>
      <w:r w:rsidR="00A660B5">
        <w:rPr>
          <w:rFonts w:ascii="Garamond" w:hAnsi="Garamond" w:cs="Arial"/>
          <w:color w:val="000000" w:themeColor="text1"/>
          <w:sz w:val="24"/>
          <w:szCs w:val="24"/>
        </w:rPr>
        <w:t xml:space="preserve">appropriate. </w:t>
      </w:r>
    </w:p>
    <w:p w14:paraId="1B04E901" w14:textId="3F497EF6" w:rsidR="00D37437" w:rsidRDefault="00A660B5" w:rsidP="00D37437">
      <w:pPr>
        <w:pStyle w:val="NormalWeb"/>
        <w:numPr>
          <w:ilvl w:val="0"/>
          <w:numId w:val="2"/>
        </w:numPr>
        <w:jc w:val="both"/>
        <w:rPr>
          <w:rFonts w:ascii="Garamond" w:hAnsi="Garamond" w:cs="Arial"/>
          <w:i/>
          <w:iCs/>
          <w:color w:val="000000" w:themeColor="text1"/>
          <w:sz w:val="24"/>
          <w:szCs w:val="24"/>
        </w:rPr>
      </w:pPr>
      <w:r w:rsidRPr="00D37437">
        <w:rPr>
          <w:rFonts w:ascii="Garamond" w:hAnsi="Garamond" w:cs="Arial"/>
          <w:color w:val="000000" w:themeColor="text1"/>
          <w:sz w:val="24"/>
          <w:szCs w:val="24"/>
        </w:rPr>
        <w:t>There must then be a link between the agricultural land and the farmhouse</w:t>
      </w:r>
      <w:r w:rsidR="00FB6162" w:rsidRPr="00D37437">
        <w:rPr>
          <w:rFonts w:ascii="Garamond" w:hAnsi="Garamond" w:cs="Arial"/>
          <w:color w:val="000000" w:themeColor="text1"/>
          <w:sz w:val="24"/>
          <w:szCs w:val="24"/>
        </w:rPr>
        <w:t>, for example, common ownership</w:t>
      </w:r>
      <w:r w:rsidR="00AF3123" w:rsidRPr="00D37437">
        <w:rPr>
          <w:rFonts w:ascii="Garamond" w:hAnsi="Garamond" w:cs="Arial"/>
          <w:color w:val="000000" w:themeColor="text1"/>
          <w:sz w:val="24"/>
          <w:szCs w:val="24"/>
        </w:rPr>
        <w:t xml:space="preserve"> (see </w:t>
      </w:r>
      <w:r w:rsidR="00AF3123" w:rsidRPr="00D37437">
        <w:rPr>
          <w:rFonts w:ascii="Garamond" w:hAnsi="Garamond" w:cs="Arial"/>
          <w:i/>
          <w:iCs/>
          <w:color w:val="000000" w:themeColor="text1"/>
          <w:sz w:val="24"/>
          <w:szCs w:val="24"/>
        </w:rPr>
        <w:t>Rosser</w:t>
      </w:r>
      <w:r w:rsidR="00AF3123" w:rsidRPr="00D37437">
        <w:rPr>
          <w:rFonts w:ascii="Garamond" w:hAnsi="Garamond" w:cs="Arial"/>
          <w:color w:val="000000" w:themeColor="text1"/>
          <w:sz w:val="24"/>
          <w:szCs w:val="24"/>
        </w:rPr>
        <w:t>)</w:t>
      </w:r>
      <w:r w:rsidR="00B71F9E" w:rsidRPr="00D37437">
        <w:rPr>
          <w:rFonts w:ascii="Garamond" w:hAnsi="Garamond" w:cs="Arial"/>
          <w:color w:val="000000" w:themeColor="text1"/>
          <w:sz w:val="24"/>
          <w:szCs w:val="24"/>
        </w:rPr>
        <w:t xml:space="preserve">, though it was held in </w:t>
      </w:r>
      <w:r w:rsidR="00B71F9E" w:rsidRPr="00D37437">
        <w:rPr>
          <w:rFonts w:ascii="Garamond" w:hAnsi="Garamond" w:cs="Arial"/>
          <w:i/>
          <w:iCs/>
          <w:color w:val="000000" w:themeColor="text1"/>
          <w:sz w:val="24"/>
          <w:szCs w:val="24"/>
        </w:rPr>
        <w:t>HMRC v Hanson</w:t>
      </w:r>
      <w:r w:rsidR="00B71F9E" w:rsidRPr="00D37437">
        <w:rPr>
          <w:rFonts w:ascii="Garamond" w:hAnsi="Garamond" w:cs="Arial"/>
          <w:color w:val="000000" w:themeColor="text1"/>
          <w:sz w:val="24"/>
          <w:szCs w:val="24"/>
        </w:rPr>
        <w:t xml:space="preserve"> [2013] UKUT 224 (TCC) that only common occupation was in fact required. </w:t>
      </w:r>
      <w:r w:rsidR="001661F5" w:rsidRPr="00D37437">
        <w:rPr>
          <w:rFonts w:ascii="Garamond" w:hAnsi="Garamond" w:cs="Arial"/>
          <w:color w:val="000000" w:themeColor="text1"/>
          <w:sz w:val="24"/>
          <w:szCs w:val="24"/>
        </w:rPr>
        <w:t xml:space="preserve">It then seems reasonably clear that land farmed by someone </w:t>
      </w:r>
      <w:r w:rsidR="001661F5" w:rsidRPr="00E63433">
        <w:rPr>
          <w:rFonts w:ascii="Garamond" w:hAnsi="Garamond" w:cs="Arial"/>
          <w:color w:val="000000" w:themeColor="text1"/>
          <w:sz w:val="24"/>
          <w:szCs w:val="24"/>
        </w:rPr>
        <w:t>else</w:t>
      </w:r>
      <w:r w:rsidR="001661F5" w:rsidRPr="00D37437">
        <w:rPr>
          <w:rFonts w:ascii="Garamond" w:hAnsi="Garamond" w:cs="Arial"/>
          <w:color w:val="000000" w:themeColor="text1"/>
          <w:sz w:val="24"/>
          <w:szCs w:val="24"/>
        </w:rPr>
        <w:t xml:space="preserve"> should not be considered. </w:t>
      </w:r>
    </w:p>
    <w:p w14:paraId="1335B963" w14:textId="2E1B2FC0" w:rsidR="00A660B5" w:rsidRPr="000C66E0" w:rsidRDefault="001661F5" w:rsidP="00D37437">
      <w:pPr>
        <w:pStyle w:val="NormalWeb"/>
        <w:numPr>
          <w:ilvl w:val="0"/>
          <w:numId w:val="2"/>
        </w:numPr>
        <w:jc w:val="both"/>
        <w:rPr>
          <w:rFonts w:ascii="Garamond" w:hAnsi="Garamond" w:cs="Arial"/>
          <w:i/>
          <w:iCs/>
          <w:color w:val="000000" w:themeColor="text1"/>
          <w:sz w:val="24"/>
          <w:szCs w:val="24"/>
        </w:rPr>
      </w:pPr>
      <w:r w:rsidRPr="00D37437">
        <w:rPr>
          <w:rFonts w:ascii="Garamond" w:hAnsi="Garamond" w:cs="Arial"/>
          <w:color w:val="000000" w:themeColor="text1"/>
          <w:sz w:val="24"/>
          <w:szCs w:val="24"/>
        </w:rPr>
        <w:t xml:space="preserve">Whether the farmhouse is appropriate has been subject to significant litigation. </w:t>
      </w:r>
      <w:r w:rsidR="00D37437">
        <w:rPr>
          <w:rFonts w:ascii="Garamond" w:hAnsi="Garamond" w:cs="Arial"/>
          <w:color w:val="000000" w:themeColor="text1"/>
          <w:sz w:val="24"/>
          <w:szCs w:val="24"/>
        </w:rPr>
        <w:t>HMRC’s Manual at IHTM</w:t>
      </w:r>
      <w:r w:rsidR="001722F2">
        <w:rPr>
          <w:rFonts w:ascii="Garamond" w:hAnsi="Garamond" w:cs="Arial"/>
          <w:color w:val="000000" w:themeColor="text1"/>
          <w:sz w:val="24"/>
          <w:szCs w:val="24"/>
        </w:rPr>
        <w:t>24051 sets out as follows:</w:t>
      </w:r>
    </w:p>
    <w:p w14:paraId="2547E397" w14:textId="77777777" w:rsidR="000C66E0" w:rsidRPr="000C66E0" w:rsidRDefault="000C66E0" w:rsidP="000C66E0">
      <w:pPr>
        <w:pStyle w:val="NormalWeb"/>
        <w:ind w:left="360"/>
        <w:jc w:val="both"/>
        <w:rPr>
          <w:rFonts w:ascii="Garamond" w:hAnsi="Garamond" w:cs="Arial"/>
          <w:i/>
          <w:iCs/>
          <w:color w:val="000000" w:themeColor="text1"/>
          <w:sz w:val="24"/>
          <w:szCs w:val="24"/>
        </w:rPr>
      </w:pPr>
      <w:r w:rsidRPr="000C66E0">
        <w:rPr>
          <w:rFonts w:ascii="Garamond" w:hAnsi="Garamond" w:cs="Arial"/>
          <w:i/>
          <w:iCs/>
          <w:color w:val="000000" w:themeColor="text1"/>
          <w:sz w:val="24"/>
          <w:szCs w:val="24"/>
        </w:rPr>
        <w:t>Is the farmhouse appropriate by reference to its size, layout and content with the farm buildings and the particular area of farmland being farmed?</w:t>
      </w:r>
    </w:p>
    <w:p w14:paraId="51F2E0AF" w14:textId="77777777" w:rsidR="000C66E0" w:rsidRPr="000C66E0" w:rsidRDefault="000C66E0" w:rsidP="000C66E0">
      <w:pPr>
        <w:pStyle w:val="NormalWeb"/>
        <w:ind w:left="360"/>
        <w:jc w:val="both"/>
        <w:rPr>
          <w:rFonts w:ascii="Garamond" w:hAnsi="Garamond" w:cs="Arial"/>
          <w:i/>
          <w:iCs/>
          <w:color w:val="000000" w:themeColor="text1"/>
          <w:sz w:val="24"/>
          <w:szCs w:val="24"/>
        </w:rPr>
      </w:pPr>
      <w:r w:rsidRPr="000C66E0">
        <w:rPr>
          <w:rFonts w:ascii="Garamond" w:hAnsi="Garamond" w:cs="Arial"/>
          <w:i/>
          <w:iCs/>
          <w:color w:val="000000" w:themeColor="text1"/>
          <w:sz w:val="24"/>
          <w:szCs w:val="24"/>
        </w:rPr>
        <w:t>Is the farmhouse proportionate in size and nature to the requirements of the agricultural activities conducted on the agricultural land? You should bear in mind that different types of agricultural operation require different amounts of land. This is an aspect on which the VOA will be able to give advice.</w:t>
      </w:r>
    </w:p>
    <w:p w14:paraId="6DA288B1" w14:textId="77777777" w:rsidR="000C66E0" w:rsidRPr="000C66E0" w:rsidRDefault="000C66E0" w:rsidP="000C66E0">
      <w:pPr>
        <w:pStyle w:val="NormalWeb"/>
        <w:ind w:left="360"/>
        <w:jc w:val="both"/>
        <w:rPr>
          <w:rFonts w:ascii="Garamond" w:hAnsi="Garamond" w:cs="Arial"/>
          <w:i/>
          <w:iCs/>
          <w:color w:val="000000" w:themeColor="text1"/>
          <w:sz w:val="24"/>
          <w:szCs w:val="24"/>
        </w:rPr>
      </w:pPr>
      <w:r w:rsidRPr="000C66E0">
        <w:rPr>
          <w:rFonts w:ascii="Garamond" w:hAnsi="Garamond" w:cs="Arial"/>
          <w:i/>
          <w:iCs/>
          <w:color w:val="000000" w:themeColor="text1"/>
          <w:sz w:val="24"/>
          <w:szCs w:val="24"/>
        </w:rPr>
        <w:t>Within the agricultural land does the land predominate so that the farmhouse is ancillary to the land?</w:t>
      </w:r>
    </w:p>
    <w:p w14:paraId="0F62D674" w14:textId="77777777" w:rsidR="000C66E0" w:rsidRPr="000C66E0" w:rsidRDefault="000C66E0" w:rsidP="000C66E0">
      <w:pPr>
        <w:pStyle w:val="NormalWeb"/>
        <w:ind w:left="360"/>
        <w:jc w:val="both"/>
        <w:rPr>
          <w:rFonts w:ascii="Garamond" w:hAnsi="Garamond" w:cs="Arial"/>
          <w:i/>
          <w:iCs/>
          <w:color w:val="000000" w:themeColor="text1"/>
          <w:sz w:val="24"/>
          <w:szCs w:val="24"/>
        </w:rPr>
      </w:pPr>
      <w:r w:rsidRPr="000C66E0">
        <w:rPr>
          <w:rFonts w:ascii="Garamond" w:hAnsi="Garamond" w:cs="Arial"/>
          <w:i/>
          <w:iCs/>
          <w:color w:val="000000" w:themeColor="text1"/>
          <w:sz w:val="24"/>
          <w:szCs w:val="24"/>
        </w:rPr>
        <w:t>Would a reasonable and informed person regard the property simply as a house with land or as a farmhouse?</w:t>
      </w:r>
    </w:p>
    <w:p w14:paraId="5DC9E632" w14:textId="77777777" w:rsidR="000C66E0" w:rsidRPr="000C66E0" w:rsidRDefault="000C66E0" w:rsidP="000C66E0">
      <w:pPr>
        <w:pStyle w:val="NormalWeb"/>
        <w:ind w:left="360"/>
        <w:jc w:val="both"/>
        <w:rPr>
          <w:rFonts w:ascii="Garamond" w:hAnsi="Garamond" w:cs="Arial"/>
          <w:i/>
          <w:iCs/>
          <w:color w:val="000000" w:themeColor="text1"/>
          <w:sz w:val="24"/>
          <w:szCs w:val="24"/>
        </w:rPr>
      </w:pPr>
      <w:r w:rsidRPr="000C66E0">
        <w:rPr>
          <w:rFonts w:ascii="Garamond" w:hAnsi="Garamond" w:cs="Arial"/>
          <w:i/>
          <w:iCs/>
          <w:color w:val="000000" w:themeColor="text1"/>
          <w:sz w:val="24"/>
          <w:szCs w:val="24"/>
        </w:rPr>
        <w:t>Applying the “elephant test”, would you recognise this as a farmhouse if you saw it? Although this test involves some subjectivity it can be useful in ruling out extremes at either end of the scale.</w:t>
      </w:r>
    </w:p>
    <w:p w14:paraId="25910600" w14:textId="77777777" w:rsidR="000C66E0" w:rsidRPr="000C66E0" w:rsidRDefault="000C66E0" w:rsidP="000C66E0">
      <w:pPr>
        <w:pStyle w:val="NormalWeb"/>
        <w:ind w:left="360"/>
        <w:jc w:val="both"/>
        <w:rPr>
          <w:rFonts w:ascii="Garamond" w:hAnsi="Garamond" w:cs="Arial"/>
          <w:i/>
          <w:iCs/>
          <w:color w:val="000000" w:themeColor="text1"/>
          <w:sz w:val="24"/>
          <w:szCs w:val="24"/>
        </w:rPr>
      </w:pPr>
      <w:r w:rsidRPr="000C66E0">
        <w:rPr>
          <w:rFonts w:ascii="Garamond" w:hAnsi="Garamond" w:cs="Arial"/>
          <w:i/>
          <w:iCs/>
          <w:color w:val="000000" w:themeColor="text1"/>
          <w:sz w:val="24"/>
          <w:szCs w:val="24"/>
        </w:rPr>
        <w:t>How long has the farmhouse and agricultural property been associated and is there a history of agricultural production? The matter has to be decided on the facts that existed as at the date of death or transfer but evidence of the farmhouse having previously been occupied with a larger area of land may be relevant evidence.</w:t>
      </w:r>
    </w:p>
    <w:p w14:paraId="479FEED0" w14:textId="77777777" w:rsidR="000C66E0" w:rsidRPr="000C66E0" w:rsidRDefault="000C66E0" w:rsidP="000C66E0">
      <w:pPr>
        <w:pStyle w:val="NormalWeb"/>
        <w:ind w:left="360"/>
        <w:jc w:val="both"/>
        <w:rPr>
          <w:rFonts w:ascii="Garamond" w:hAnsi="Garamond" w:cs="Arial"/>
          <w:i/>
          <w:iCs/>
          <w:color w:val="000000" w:themeColor="text1"/>
          <w:sz w:val="24"/>
          <w:szCs w:val="24"/>
        </w:rPr>
      </w:pPr>
      <w:r w:rsidRPr="000C66E0">
        <w:rPr>
          <w:rFonts w:ascii="Garamond" w:hAnsi="Garamond" w:cs="Arial"/>
          <w:i/>
          <w:iCs/>
          <w:color w:val="000000" w:themeColor="text1"/>
          <w:sz w:val="24"/>
          <w:szCs w:val="24"/>
        </w:rPr>
        <w:t>Considering the relationship between the value of the house and the profitability of the land, would the house attract demand from a commercial farmer who has to earn a living from the land, or is its value significantly out of proportion to the profitability of the land? If business accounts have been supplied, copies should be forwarded to the VOA. Business accounts can give a useful indication of the extent of the agricultural activity being carried on, although a loss making enterprise is not on its own considered to be a determinative factor).</w:t>
      </w:r>
    </w:p>
    <w:p w14:paraId="5D997FF8" w14:textId="77777777" w:rsidR="000C66E0" w:rsidRPr="000C66E0" w:rsidRDefault="000C66E0" w:rsidP="000C66E0">
      <w:pPr>
        <w:pStyle w:val="NormalWeb"/>
        <w:ind w:left="360"/>
        <w:jc w:val="both"/>
        <w:rPr>
          <w:rFonts w:ascii="Garamond" w:hAnsi="Garamond" w:cs="Arial"/>
          <w:i/>
          <w:iCs/>
          <w:color w:val="000000" w:themeColor="text1"/>
          <w:sz w:val="24"/>
          <w:szCs w:val="24"/>
        </w:rPr>
      </w:pPr>
      <w:r w:rsidRPr="000C66E0">
        <w:rPr>
          <w:rFonts w:ascii="Garamond" w:hAnsi="Garamond" w:cs="Arial"/>
          <w:i/>
          <w:iCs/>
          <w:color w:val="000000" w:themeColor="text1"/>
          <w:sz w:val="24"/>
          <w:szCs w:val="24"/>
        </w:rPr>
        <w:t>Considering all other relevant factors, including whether any land is let out and on what terms, is the scale of the agricultural operations in context?</w:t>
      </w:r>
    </w:p>
    <w:p w14:paraId="2BB7F666" w14:textId="64CF4833" w:rsidR="000C66E0" w:rsidRPr="001722F2" w:rsidRDefault="000C66E0" w:rsidP="000C66E0">
      <w:pPr>
        <w:pStyle w:val="NormalWeb"/>
        <w:ind w:left="360"/>
        <w:jc w:val="both"/>
        <w:rPr>
          <w:rFonts w:ascii="Garamond" w:hAnsi="Garamond" w:cs="Arial"/>
          <w:i/>
          <w:iCs/>
          <w:color w:val="000000" w:themeColor="text1"/>
          <w:sz w:val="24"/>
          <w:szCs w:val="24"/>
        </w:rPr>
      </w:pPr>
      <w:r w:rsidRPr="000C66E0">
        <w:rPr>
          <w:rFonts w:ascii="Garamond" w:hAnsi="Garamond" w:cs="Arial"/>
          <w:i/>
          <w:iCs/>
          <w:color w:val="000000" w:themeColor="text1"/>
          <w:sz w:val="24"/>
          <w:szCs w:val="24"/>
        </w:rPr>
        <w:t xml:space="preserve">There must be some connection or nexus between “such cottages, farm buildings and farmhouses, together with the land occupied with them” and the property to which they must be of a character appropriate. The Special Commissioner in Rosser v Inland Revenue Commissioners [2003] STC (SCD) 311 accepted that nexus must be derived from common ownership rather than common occupation but this was later rejected in the decision of Hanson v HMRC [2013] UKUT 224 at the Upper Tribunal and common occupation was considered </w:t>
      </w:r>
      <w:r w:rsidRPr="000C66E0">
        <w:rPr>
          <w:rFonts w:ascii="Garamond" w:hAnsi="Garamond" w:cs="Arial"/>
          <w:i/>
          <w:iCs/>
          <w:color w:val="000000" w:themeColor="text1"/>
          <w:sz w:val="24"/>
          <w:szCs w:val="24"/>
        </w:rPr>
        <w:lastRenderedPageBreak/>
        <w:t>instead. However, Warren J stated that "we do not necessarily decide that common occupation will always and necessarily constitute a sufficient nexus." You should therefore consider all the facts when deciding whether an appropriate nexus exists.</w:t>
      </w:r>
    </w:p>
    <w:p w14:paraId="7C5D22BB" w14:textId="51B00325" w:rsidR="001722F2" w:rsidRPr="00C242F5" w:rsidRDefault="008E0C0F" w:rsidP="00D37437">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A useful shorthand is found in </w:t>
      </w:r>
      <w:r w:rsidRPr="008E0C0F">
        <w:rPr>
          <w:rFonts w:ascii="Garamond" w:hAnsi="Garamond" w:cs="Arial"/>
          <w:i/>
          <w:iCs/>
          <w:color w:val="000000" w:themeColor="text1"/>
          <w:sz w:val="24"/>
          <w:szCs w:val="24"/>
        </w:rPr>
        <w:t>Dixon,</w:t>
      </w:r>
      <w:r>
        <w:rPr>
          <w:rFonts w:ascii="Garamond" w:hAnsi="Garamond" w:cs="Arial"/>
          <w:color w:val="000000" w:themeColor="text1"/>
          <w:sz w:val="24"/>
          <w:szCs w:val="24"/>
        </w:rPr>
        <w:t xml:space="preserve"> where the test was set as whether a person on the Clapham Omnibus would regard the property as a house with land, or a farmhouse. </w:t>
      </w:r>
    </w:p>
    <w:p w14:paraId="706F7C3B" w14:textId="77777777" w:rsidR="00C242F5" w:rsidRPr="00B00AD3" w:rsidRDefault="00C242F5" w:rsidP="00C242F5">
      <w:pPr>
        <w:pStyle w:val="NormalWeb"/>
        <w:ind w:left="360"/>
        <w:jc w:val="both"/>
        <w:rPr>
          <w:rFonts w:ascii="Garamond" w:hAnsi="Garamond" w:cs="Arial"/>
          <w:i/>
          <w:iCs/>
          <w:color w:val="000000" w:themeColor="text1"/>
          <w:sz w:val="24"/>
          <w:szCs w:val="24"/>
        </w:rPr>
      </w:pPr>
    </w:p>
    <w:p w14:paraId="14EC1FD5" w14:textId="054E488D" w:rsidR="00FB20E0" w:rsidRPr="00F5076A" w:rsidRDefault="00C242F5" w:rsidP="00F5076A">
      <w:pPr>
        <w:pStyle w:val="Heading3"/>
        <w:rPr>
          <w:rFonts w:ascii="Garamond" w:hAnsi="Garamond"/>
          <w:b/>
          <w:bCs/>
          <w:i/>
          <w:iCs/>
          <w:color w:val="000000" w:themeColor="text1"/>
          <w:sz w:val="24"/>
          <w:szCs w:val="24"/>
          <w:u w:val="single"/>
        </w:rPr>
      </w:pPr>
      <w:r w:rsidRPr="00C242F5">
        <w:rPr>
          <w:rFonts w:ascii="Garamond" w:hAnsi="Garamond"/>
          <w:b/>
          <w:bCs/>
          <w:i/>
          <w:iCs/>
          <w:color w:val="000000" w:themeColor="text1"/>
          <w:sz w:val="24"/>
          <w:szCs w:val="24"/>
          <w:u w:val="single"/>
        </w:rPr>
        <w:t>Ownership and occupation conditions:</w:t>
      </w:r>
    </w:p>
    <w:p w14:paraId="00C2CA16" w14:textId="1487C878" w:rsidR="008E0C0F" w:rsidRPr="00523666" w:rsidRDefault="00F5076A" w:rsidP="00220770">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Under section 121 IHTA 1984</w:t>
      </w:r>
      <w:r w:rsidR="001A2867">
        <w:rPr>
          <w:rFonts w:ascii="Garamond" w:hAnsi="Garamond" w:cs="Arial"/>
          <w:color w:val="000000" w:themeColor="text1"/>
          <w:sz w:val="24"/>
          <w:szCs w:val="24"/>
        </w:rPr>
        <w:t>, the property must be occupied by the transferor for agricultural purposes throughout the 2 years before the date of the lifetime gift or the transferor’s death, or, it must have been owned by the transferor throughout the 7 years before the date of the lifetime gift or the transferor’s death</w:t>
      </w:r>
      <w:r w:rsidR="0025495D">
        <w:rPr>
          <w:rFonts w:ascii="Garamond" w:hAnsi="Garamond" w:cs="Arial"/>
          <w:color w:val="000000" w:themeColor="text1"/>
          <w:sz w:val="24"/>
          <w:szCs w:val="24"/>
        </w:rPr>
        <w:t xml:space="preserve"> </w:t>
      </w:r>
      <w:r w:rsidR="001A2867">
        <w:rPr>
          <w:rFonts w:ascii="Garamond" w:hAnsi="Garamond" w:cs="Arial"/>
          <w:color w:val="000000" w:themeColor="text1"/>
          <w:sz w:val="24"/>
          <w:szCs w:val="24"/>
        </w:rPr>
        <w:t xml:space="preserve">and occupied by any person throughout the 7 year period for the purposes of agriculture. </w:t>
      </w:r>
    </w:p>
    <w:p w14:paraId="4C3D88B6" w14:textId="353D6DAF" w:rsidR="00523666" w:rsidRPr="002D0DEF" w:rsidRDefault="00523666" w:rsidP="00D37437">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For relevant property trusts, we consider occupation by the trustees: for qualifying interests in possession, occupation means occupation by the beneficiary with the life interest. </w:t>
      </w:r>
    </w:p>
    <w:p w14:paraId="74831B3A" w14:textId="7044BA42" w:rsidR="002D0DEF" w:rsidRPr="00D00590" w:rsidRDefault="002D0DEF" w:rsidP="00D37437">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The same relaxations apply to APR as BPR (see above).</w:t>
      </w:r>
    </w:p>
    <w:p w14:paraId="7E45D9E8" w14:textId="77777777" w:rsidR="00D00590" w:rsidRPr="00D00590" w:rsidRDefault="00D00590" w:rsidP="00D00590">
      <w:pPr>
        <w:pStyle w:val="NormalWeb"/>
        <w:ind w:left="360"/>
        <w:jc w:val="both"/>
        <w:rPr>
          <w:rFonts w:ascii="Garamond" w:hAnsi="Garamond" w:cs="Arial"/>
          <w:i/>
          <w:iCs/>
          <w:color w:val="000000" w:themeColor="text1"/>
          <w:sz w:val="24"/>
          <w:szCs w:val="24"/>
        </w:rPr>
      </w:pPr>
    </w:p>
    <w:p w14:paraId="5AC33139" w14:textId="54A59B54" w:rsidR="00D00590" w:rsidRPr="00D00590" w:rsidRDefault="00D00590" w:rsidP="00D00590">
      <w:pPr>
        <w:pStyle w:val="Heading3"/>
        <w:rPr>
          <w:rFonts w:ascii="Garamond" w:hAnsi="Garamond"/>
          <w:b/>
          <w:bCs/>
          <w:i/>
          <w:iCs/>
          <w:color w:val="auto"/>
          <w:sz w:val="24"/>
          <w:szCs w:val="24"/>
          <w:u w:val="single"/>
        </w:rPr>
      </w:pPr>
      <w:r w:rsidRPr="00D00590">
        <w:rPr>
          <w:rFonts w:ascii="Garamond" w:hAnsi="Garamond"/>
          <w:b/>
          <w:bCs/>
          <w:i/>
          <w:iCs/>
          <w:color w:val="auto"/>
          <w:sz w:val="24"/>
          <w:szCs w:val="24"/>
          <w:u w:val="single"/>
        </w:rPr>
        <w:t>Ancillary issues</w:t>
      </w:r>
    </w:p>
    <w:p w14:paraId="05BA7A3C" w14:textId="5002165E" w:rsidR="00D00590" w:rsidRPr="00174E6F" w:rsidRDefault="00174E6F" w:rsidP="00D37437">
      <w:pPr>
        <w:pStyle w:val="NormalWeb"/>
        <w:numPr>
          <w:ilvl w:val="0"/>
          <w:numId w:val="2"/>
        </w:numPr>
        <w:jc w:val="both"/>
        <w:rPr>
          <w:rFonts w:ascii="Garamond" w:hAnsi="Garamond" w:cs="Arial"/>
          <w:i/>
          <w:iCs/>
          <w:color w:val="000000" w:themeColor="text1"/>
          <w:sz w:val="24"/>
          <w:szCs w:val="24"/>
        </w:rPr>
      </w:pPr>
      <w:r>
        <w:rPr>
          <w:rFonts w:ascii="Garamond" w:hAnsi="Garamond" w:cs="Arial"/>
          <w:color w:val="000000" w:themeColor="text1"/>
          <w:sz w:val="24"/>
          <w:szCs w:val="24"/>
        </w:rPr>
        <w:t xml:space="preserve">It is important to watch out for binding contracts of sale: this can prevent qualifying for APR unless one of the specific exceptions is in point (section 124 IHTA 1984). </w:t>
      </w:r>
    </w:p>
    <w:p w14:paraId="3D140984" w14:textId="77777777" w:rsidR="00174E6F" w:rsidRPr="00D37437" w:rsidRDefault="00174E6F" w:rsidP="00FA6E66">
      <w:pPr>
        <w:pStyle w:val="NormalWeb"/>
        <w:jc w:val="both"/>
        <w:rPr>
          <w:rFonts w:ascii="Garamond" w:hAnsi="Garamond" w:cs="Arial"/>
          <w:i/>
          <w:iCs/>
          <w:color w:val="000000" w:themeColor="text1"/>
          <w:sz w:val="24"/>
          <w:szCs w:val="24"/>
        </w:rPr>
      </w:pPr>
    </w:p>
    <w:p w14:paraId="10F896F5" w14:textId="1C549961" w:rsidR="00BB71C7" w:rsidRPr="008B1D3D" w:rsidRDefault="00BB71C7" w:rsidP="00AC7D13">
      <w:pPr>
        <w:pStyle w:val="NormalWeb"/>
        <w:spacing w:line="240" w:lineRule="auto"/>
        <w:ind w:left="360"/>
        <w:jc w:val="right"/>
        <w:rPr>
          <w:rFonts w:ascii="Garamond" w:hAnsi="Garamond" w:cs="Arial"/>
          <w:b/>
          <w:bCs/>
          <w:color w:val="000000" w:themeColor="text1"/>
          <w:sz w:val="24"/>
          <w:szCs w:val="24"/>
        </w:rPr>
      </w:pPr>
      <w:r w:rsidRPr="008B1D3D">
        <w:rPr>
          <w:rFonts w:ascii="Garamond" w:hAnsi="Garamond" w:cs="Arial"/>
          <w:b/>
          <w:bCs/>
          <w:color w:val="000000" w:themeColor="text1"/>
          <w:sz w:val="24"/>
          <w:szCs w:val="24"/>
        </w:rPr>
        <w:t>Rebecca Sheldon</w:t>
      </w:r>
    </w:p>
    <w:p w14:paraId="5CF53171" w14:textId="4394F251" w:rsidR="00BB71C7" w:rsidRPr="008B1D3D" w:rsidRDefault="00BB71C7" w:rsidP="00AC7D13">
      <w:pPr>
        <w:pStyle w:val="NormalWeb"/>
        <w:spacing w:line="240" w:lineRule="auto"/>
        <w:ind w:left="360"/>
        <w:jc w:val="right"/>
        <w:rPr>
          <w:rFonts w:ascii="Garamond" w:hAnsi="Garamond" w:cs="Arial"/>
          <w:color w:val="000000" w:themeColor="text1"/>
          <w:sz w:val="24"/>
          <w:szCs w:val="24"/>
        </w:rPr>
      </w:pPr>
      <w:r w:rsidRPr="008B1D3D">
        <w:rPr>
          <w:rFonts w:ascii="Garamond" w:hAnsi="Garamond" w:cs="Arial"/>
          <w:color w:val="000000" w:themeColor="text1"/>
          <w:sz w:val="24"/>
          <w:szCs w:val="24"/>
        </w:rPr>
        <w:t>Old Square Tax Chambers</w:t>
      </w:r>
    </w:p>
    <w:p w14:paraId="3B66839F" w14:textId="6720A7C0" w:rsidR="00BB71C7" w:rsidRPr="008B1D3D" w:rsidRDefault="008B1D3D" w:rsidP="00AC7D13">
      <w:pPr>
        <w:pStyle w:val="NormalWeb"/>
        <w:spacing w:line="240" w:lineRule="auto"/>
        <w:ind w:left="360"/>
        <w:jc w:val="right"/>
        <w:rPr>
          <w:rFonts w:ascii="Garamond" w:hAnsi="Garamond" w:cs="Arial"/>
          <w:color w:val="000000" w:themeColor="text1"/>
          <w:sz w:val="24"/>
          <w:szCs w:val="24"/>
        </w:rPr>
      </w:pPr>
      <w:r>
        <w:rPr>
          <w:rFonts w:ascii="Garamond" w:hAnsi="Garamond" w:cs="Arial"/>
          <w:color w:val="000000" w:themeColor="text1"/>
          <w:sz w:val="24"/>
          <w:szCs w:val="24"/>
        </w:rPr>
        <w:t>29</w:t>
      </w:r>
      <w:r w:rsidRPr="008B1D3D">
        <w:rPr>
          <w:rFonts w:ascii="Garamond" w:hAnsi="Garamond" w:cs="Arial"/>
          <w:color w:val="000000" w:themeColor="text1"/>
          <w:sz w:val="24"/>
          <w:szCs w:val="24"/>
          <w:vertAlign w:val="superscript"/>
        </w:rPr>
        <w:t>th</w:t>
      </w:r>
      <w:r>
        <w:rPr>
          <w:rFonts w:ascii="Garamond" w:hAnsi="Garamond" w:cs="Arial"/>
          <w:color w:val="000000" w:themeColor="text1"/>
          <w:sz w:val="24"/>
          <w:szCs w:val="24"/>
        </w:rPr>
        <w:t xml:space="preserve"> April </w:t>
      </w:r>
      <w:r w:rsidR="00BB71C7" w:rsidRPr="008B1D3D">
        <w:rPr>
          <w:rFonts w:ascii="Garamond" w:hAnsi="Garamond" w:cs="Arial"/>
          <w:color w:val="000000" w:themeColor="text1"/>
          <w:sz w:val="24"/>
          <w:szCs w:val="24"/>
        </w:rPr>
        <w:t>2025</w:t>
      </w:r>
    </w:p>
    <w:p w14:paraId="4A27424E" w14:textId="426F5E8A" w:rsidR="00A87E97" w:rsidRPr="008B1D3D" w:rsidRDefault="00B11301" w:rsidP="00CD1BE0">
      <w:pPr>
        <w:pStyle w:val="NormalWeb"/>
        <w:rPr>
          <w:rFonts w:cs="Arial"/>
          <w:b/>
          <w:bCs/>
          <w:color w:val="000000" w:themeColor="text1"/>
          <w:sz w:val="24"/>
          <w:szCs w:val="24"/>
        </w:rPr>
      </w:pPr>
      <w:r w:rsidRPr="008B1D3D">
        <w:rPr>
          <w:rFonts w:cs="Arial"/>
          <w:b/>
          <w:bCs/>
          <w:color w:val="000000" w:themeColor="text1"/>
          <w:sz w:val="24"/>
          <w:szCs w:val="24"/>
        </w:rPr>
        <w:tab/>
      </w:r>
    </w:p>
    <w:sectPr w:rsidR="00A87E97" w:rsidRPr="008B1D3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DAA51" w14:textId="77777777" w:rsidR="000945B5" w:rsidRDefault="000945B5" w:rsidP="00775DCA">
      <w:pPr>
        <w:spacing w:after="0" w:line="240" w:lineRule="auto"/>
      </w:pPr>
      <w:r>
        <w:separator/>
      </w:r>
    </w:p>
  </w:endnote>
  <w:endnote w:type="continuationSeparator" w:id="0">
    <w:p w14:paraId="617D8EC2" w14:textId="77777777" w:rsidR="000945B5" w:rsidRDefault="000945B5" w:rsidP="00775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714246"/>
      <w:docPartObj>
        <w:docPartGallery w:val="Page Numbers (Bottom of Page)"/>
        <w:docPartUnique/>
      </w:docPartObj>
    </w:sdtPr>
    <w:sdtEndPr>
      <w:rPr>
        <w:rFonts w:ascii="Garamond" w:hAnsi="Garamond"/>
        <w:sz w:val="24"/>
        <w:szCs w:val="24"/>
      </w:rPr>
    </w:sdtEndPr>
    <w:sdtContent>
      <w:p w14:paraId="098C2EB8" w14:textId="76C16760" w:rsidR="00775DCA" w:rsidRPr="00775DCA" w:rsidRDefault="00775DCA">
        <w:pPr>
          <w:pStyle w:val="Footer"/>
          <w:jc w:val="right"/>
          <w:rPr>
            <w:rFonts w:ascii="Garamond" w:hAnsi="Garamond"/>
            <w:sz w:val="24"/>
            <w:szCs w:val="24"/>
          </w:rPr>
        </w:pPr>
        <w:r w:rsidRPr="00775DCA">
          <w:rPr>
            <w:rFonts w:ascii="Garamond" w:hAnsi="Garamond"/>
            <w:sz w:val="24"/>
            <w:szCs w:val="24"/>
          </w:rPr>
          <w:fldChar w:fldCharType="begin"/>
        </w:r>
        <w:r w:rsidRPr="00775DCA">
          <w:rPr>
            <w:rFonts w:ascii="Garamond" w:hAnsi="Garamond"/>
            <w:sz w:val="24"/>
            <w:szCs w:val="24"/>
          </w:rPr>
          <w:instrText>PAGE   \* MERGEFORMAT</w:instrText>
        </w:r>
        <w:r w:rsidRPr="00775DCA">
          <w:rPr>
            <w:rFonts w:ascii="Garamond" w:hAnsi="Garamond"/>
            <w:sz w:val="24"/>
            <w:szCs w:val="24"/>
          </w:rPr>
          <w:fldChar w:fldCharType="separate"/>
        </w:r>
        <w:r w:rsidRPr="00775DCA">
          <w:rPr>
            <w:rFonts w:ascii="Garamond" w:hAnsi="Garamond"/>
            <w:sz w:val="24"/>
            <w:szCs w:val="24"/>
          </w:rPr>
          <w:t>2</w:t>
        </w:r>
        <w:r w:rsidRPr="00775DCA">
          <w:rPr>
            <w:rFonts w:ascii="Garamond" w:hAnsi="Garamond"/>
            <w:sz w:val="24"/>
            <w:szCs w:val="24"/>
          </w:rPr>
          <w:fldChar w:fldCharType="end"/>
        </w:r>
      </w:p>
    </w:sdtContent>
  </w:sdt>
  <w:p w14:paraId="08FA8621" w14:textId="77777777" w:rsidR="00775DCA" w:rsidRDefault="00775D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D2756" w14:textId="77777777" w:rsidR="000945B5" w:rsidRDefault="000945B5" w:rsidP="00775DCA">
      <w:pPr>
        <w:spacing w:after="0" w:line="240" w:lineRule="auto"/>
      </w:pPr>
      <w:r>
        <w:separator/>
      </w:r>
    </w:p>
  </w:footnote>
  <w:footnote w:type="continuationSeparator" w:id="0">
    <w:p w14:paraId="1392E935" w14:textId="77777777" w:rsidR="000945B5" w:rsidRDefault="000945B5" w:rsidP="00775DCA">
      <w:pPr>
        <w:spacing w:after="0" w:line="240" w:lineRule="auto"/>
      </w:pPr>
      <w:r>
        <w:continuationSeparator/>
      </w:r>
    </w:p>
  </w:footnote>
  <w:footnote w:id="1">
    <w:p w14:paraId="2AEFEA2F" w14:textId="19D8976A" w:rsidR="004C53ED" w:rsidRPr="004445E8" w:rsidRDefault="004C53ED" w:rsidP="004445E8">
      <w:pPr>
        <w:pStyle w:val="FootnoteText"/>
        <w:jc w:val="both"/>
        <w:rPr>
          <w:rFonts w:ascii="Garamond" w:hAnsi="Garamond"/>
        </w:rPr>
      </w:pPr>
      <w:r w:rsidRPr="004445E8">
        <w:rPr>
          <w:rStyle w:val="FootnoteReference"/>
          <w:rFonts w:ascii="Garamond" w:hAnsi="Garamond"/>
        </w:rPr>
        <w:footnoteRef/>
      </w:r>
      <w:r w:rsidRPr="004445E8">
        <w:rPr>
          <w:rFonts w:ascii="Garamond" w:hAnsi="Garamond"/>
        </w:rPr>
        <w:t xml:space="preserve"> A lifetime gift under section 3(1) IHTA 1984, a deemed transfer of value on death under section 4(1) IHTA 1984, the lifetime termination of a beneficiary’s life interest under an IIP in section </w:t>
      </w:r>
      <w:r w:rsidR="004445E8" w:rsidRPr="004445E8">
        <w:rPr>
          <w:rFonts w:ascii="Garamond" w:hAnsi="Garamond"/>
        </w:rPr>
        <w:t xml:space="preserve">52(1) IHTA 1984 or a 10 year charge in a relevant property trust under section 103(1) IHTA 1984. </w:t>
      </w:r>
    </w:p>
  </w:footnote>
  <w:footnote w:id="2">
    <w:p w14:paraId="21DCAA31" w14:textId="5BE3B7DC" w:rsidR="00906974" w:rsidRPr="00906974" w:rsidRDefault="00906974" w:rsidP="00906974">
      <w:pPr>
        <w:pStyle w:val="FootnoteText"/>
        <w:jc w:val="both"/>
        <w:rPr>
          <w:rFonts w:ascii="Garamond" w:hAnsi="Garamond"/>
        </w:rPr>
      </w:pPr>
      <w:r w:rsidRPr="00906974">
        <w:rPr>
          <w:rStyle w:val="FootnoteReference"/>
          <w:rFonts w:ascii="Garamond" w:hAnsi="Garamond"/>
        </w:rPr>
        <w:footnoteRef/>
      </w:r>
      <w:r w:rsidRPr="00906974">
        <w:rPr>
          <w:rFonts w:ascii="Garamond" w:hAnsi="Garamond"/>
        </w:rPr>
        <w:t xml:space="preserve"> 100% relief applies, unless the property is subject to a tenancy created before 1 September 1995, and neither extra-statutory concession F17 (ESC F17), nor the transitional provisions (which relate to pre-1 September 1995 tenancies), apply.</w:t>
      </w:r>
    </w:p>
  </w:footnote>
  <w:footnote w:id="3">
    <w:p w14:paraId="25D7B561" w14:textId="53514989" w:rsidR="00C71E72" w:rsidRPr="00C71E72" w:rsidRDefault="00C71E72">
      <w:pPr>
        <w:pStyle w:val="FootnoteText"/>
        <w:rPr>
          <w:rFonts w:ascii="Garamond" w:hAnsi="Garamond"/>
        </w:rPr>
      </w:pPr>
      <w:r w:rsidRPr="00C71E72">
        <w:rPr>
          <w:rStyle w:val="FootnoteReference"/>
          <w:rFonts w:ascii="Garamond" w:hAnsi="Garamond"/>
        </w:rPr>
        <w:footnoteRef/>
      </w:r>
      <w:r w:rsidRPr="00C71E72">
        <w:rPr>
          <w:rFonts w:ascii="Garamond" w:hAnsi="Garamond"/>
        </w:rPr>
        <w:t xml:space="preserve"> The facts here concerned the ill health of the owners, both in their 90s.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55A30"/>
    <w:multiLevelType w:val="multilevel"/>
    <w:tmpl w:val="9722877A"/>
    <w:lvl w:ilvl="0">
      <w:start w:val="1"/>
      <w:numFmt w:val="decimal"/>
      <w:lvlText w:val="%1."/>
      <w:lvlJc w:val="left"/>
      <w:pPr>
        <w:ind w:left="360" w:hanging="360"/>
      </w:pPr>
      <w:rPr>
        <w:rFonts w:hint="default"/>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E240583"/>
    <w:multiLevelType w:val="multilevel"/>
    <w:tmpl w:val="DF182398"/>
    <w:lvl w:ilvl="0">
      <w:start w:val="2"/>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97351F5"/>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63148644">
    <w:abstractNumId w:val="1"/>
  </w:num>
  <w:num w:numId="2" w16cid:durableId="1251045035">
    <w:abstractNumId w:val="0"/>
  </w:num>
  <w:num w:numId="3" w16cid:durableId="888998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E97"/>
    <w:rsid w:val="00001C69"/>
    <w:rsid w:val="0001107E"/>
    <w:rsid w:val="00020092"/>
    <w:rsid w:val="000218B8"/>
    <w:rsid w:val="00025025"/>
    <w:rsid w:val="00044884"/>
    <w:rsid w:val="0007030E"/>
    <w:rsid w:val="000945B5"/>
    <w:rsid w:val="000C66E0"/>
    <w:rsid w:val="000D2BC2"/>
    <w:rsid w:val="000F3FE6"/>
    <w:rsid w:val="001015AC"/>
    <w:rsid w:val="00102964"/>
    <w:rsid w:val="00147E3D"/>
    <w:rsid w:val="001607CB"/>
    <w:rsid w:val="0016413B"/>
    <w:rsid w:val="001661F5"/>
    <w:rsid w:val="001722F2"/>
    <w:rsid w:val="00174E6F"/>
    <w:rsid w:val="001934E0"/>
    <w:rsid w:val="00194EFC"/>
    <w:rsid w:val="001A2867"/>
    <w:rsid w:val="001A65F6"/>
    <w:rsid w:val="001A7DFE"/>
    <w:rsid w:val="001C1590"/>
    <w:rsid w:val="001C3B76"/>
    <w:rsid w:val="001C530F"/>
    <w:rsid w:val="001D5F98"/>
    <w:rsid w:val="001E1A19"/>
    <w:rsid w:val="001F619A"/>
    <w:rsid w:val="00220770"/>
    <w:rsid w:val="002254C0"/>
    <w:rsid w:val="002258EC"/>
    <w:rsid w:val="00231EBB"/>
    <w:rsid w:val="002404B6"/>
    <w:rsid w:val="0024611E"/>
    <w:rsid w:val="0025495D"/>
    <w:rsid w:val="00260DC5"/>
    <w:rsid w:val="002659E0"/>
    <w:rsid w:val="00271006"/>
    <w:rsid w:val="00272DA8"/>
    <w:rsid w:val="00273FF0"/>
    <w:rsid w:val="002749A1"/>
    <w:rsid w:val="00282D60"/>
    <w:rsid w:val="00295848"/>
    <w:rsid w:val="002B445B"/>
    <w:rsid w:val="002D0DEF"/>
    <w:rsid w:val="002F730A"/>
    <w:rsid w:val="0033619D"/>
    <w:rsid w:val="00341D74"/>
    <w:rsid w:val="00342AEF"/>
    <w:rsid w:val="0034623B"/>
    <w:rsid w:val="00357231"/>
    <w:rsid w:val="00362409"/>
    <w:rsid w:val="00365E43"/>
    <w:rsid w:val="0037167A"/>
    <w:rsid w:val="003C7646"/>
    <w:rsid w:val="003F0ABD"/>
    <w:rsid w:val="003F6059"/>
    <w:rsid w:val="004068C7"/>
    <w:rsid w:val="004122B4"/>
    <w:rsid w:val="0041275A"/>
    <w:rsid w:val="00427914"/>
    <w:rsid w:val="004325A0"/>
    <w:rsid w:val="004445E8"/>
    <w:rsid w:val="004478C4"/>
    <w:rsid w:val="00463D80"/>
    <w:rsid w:val="00472ACD"/>
    <w:rsid w:val="00475ADD"/>
    <w:rsid w:val="00480300"/>
    <w:rsid w:val="004936B0"/>
    <w:rsid w:val="00494D05"/>
    <w:rsid w:val="004C53ED"/>
    <w:rsid w:val="004C5E7A"/>
    <w:rsid w:val="004E2B3A"/>
    <w:rsid w:val="00504AF2"/>
    <w:rsid w:val="00513238"/>
    <w:rsid w:val="00523666"/>
    <w:rsid w:val="00523FD8"/>
    <w:rsid w:val="00526EA7"/>
    <w:rsid w:val="0052754F"/>
    <w:rsid w:val="00531BF4"/>
    <w:rsid w:val="00533F30"/>
    <w:rsid w:val="005421CF"/>
    <w:rsid w:val="00554978"/>
    <w:rsid w:val="005761E5"/>
    <w:rsid w:val="00577A7C"/>
    <w:rsid w:val="005934A2"/>
    <w:rsid w:val="005A2DD4"/>
    <w:rsid w:val="005B3EE8"/>
    <w:rsid w:val="005D5FE3"/>
    <w:rsid w:val="005E2593"/>
    <w:rsid w:val="005E592C"/>
    <w:rsid w:val="005E5E48"/>
    <w:rsid w:val="005E761C"/>
    <w:rsid w:val="005E7961"/>
    <w:rsid w:val="005F1FDF"/>
    <w:rsid w:val="0060725E"/>
    <w:rsid w:val="006178C7"/>
    <w:rsid w:val="00620BD3"/>
    <w:rsid w:val="00622934"/>
    <w:rsid w:val="00624774"/>
    <w:rsid w:val="0064704E"/>
    <w:rsid w:val="00655C55"/>
    <w:rsid w:val="0066014A"/>
    <w:rsid w:val="00666106"/>
    <w:rsid w:val="00685734"/>
    <w:rsid w:val="00685C4C"/>
    <w:rsid w:val="00691CD7"/>
    <w:rsid w:val="0069251F"/>
    <w:rsid w:val="006C421C"/>
    <w:rsid w:val="006D2CAD"/>
    <w:rsid w:val="006F1A74"/>
    <w:rsid w:val="006F1D6B"/>
    <w:rsid w:val="007019AD"/>
    <w:rsid w:val="007056B7"/>
    <w:rsid w:val="00720C19"/>
    <w:rsid w:val="00741BCB"/>
    <w:rsid w:val="00751238"/>
    <w:rsid w:val="00775DCA"/>
    <w:rsid w:val="0078387A"/>
    <w:rsid w:val="007A3863"/>
    <w:rsid w:val="007A3ECF"/>
    <w:rsid w:val="007B13C4"/>
    <w:rsid w:val="007C4F83"/>
    <w:rsid w:val="007D1B8E"/>
    <w:rsid w:val="007E0FFA"/>
    <w:rsid w:val="00807D7B"/>
    <w:rsid w:val="008153DD"/>
    <w:rsid w:val="0082019D"/>
    <w:rsid w:val="00840504"/>
    <w:rsid w:val="00850D48"/>
    <w:rsid w:val="00862258"/>
    <w:rsid w:val="00871A6E"/>
    <w:rsid w:val="00872D9B"/>
    <w:rsid w:val="008B1D3D"/>
    <w:rsid w:val="008B4B2A"/>
    <w:rsid w:val="008B5B51"/>
    <w:rsid w:val="008B7BFE"/>
    <w:rsid w:val="008D110B"/>
    <w:rsid w:val="008E0C0F"/>
    <w:rsid w:val="00906974"/>
    <w:rsid w:val="0092081C"/>
    <w:rsid w:val="00920F75"/>
    <w:rsid w:val="009239D0"/>
    <w:rsid w:val="0093373F"/>
    <w:rsid w:val="00952380"/>
    <w:rsid w:val="00962A3F"/>
    <w:rsid w:val="00977248"/>
    <w:rsid w:val="009C20BB"/>
    <w:rsid w:val="009F356F"/>
    <w:rsid w:val="00A03F00"/>
    <w:rsid w:val="00A13A7D"/>
    <w:rsid w:val="00A14891"/>
    <w:rsid w:val="00A54090"/>
    <w:rsid w:val="00A56811"/>
    <w:rsid w:val="00A660B5"/>
    <w:rsid w:val="00A70C0E"/>
    <w:rsid w:val="00A76D97"/>
    <w:rsid w:val="00A87E97"/>
    <w:rsid w:val="00A95C51"/>
    <w:rsid w:val="00AC1FE2"/>
    <w:rsid w:val="00AC6128"/>
    <w:rsid w:val="00AC7D13"/>
    <w:rsid w:val="00AD40C8"/>
    <w:rsid w:val="00AD4BD1"/>
    <w:rsid w:val="00AF3123"/>
    <w:rsid w:val="00B007A8"/>
    <w:rsid w:val="00B00AD3"/>
    <w:rsid w:val="00B11301"/>
    <w:rsid w:val="00B17AD9"/>
    <w:rsid w:val="00B20EBF"/>
    <w:rsid w:val="00B262AE"/>
    <w:rsid w:val="00B32810"/>
    <w:rsid w:val="00B43B28"/>
    <w:rsid w:val="00B44548"/>
    <w:rsid w:val="00B63365"/>
    <w:rsid w:val="00B71042"/>
    <w:rsid w:val="00B71F9E"/>
    <w:rsid w:val="00B748DB"/>
    <w:rsid w:val="00B90BFE"/>
    <w:rsid w:val="00B93243"/>
    <w:rsid w:val="00BB71C7"/>
    <w:rsid w:val="00BD0BB8"/>
    <w:rsid w:val="00BF6ECF"/>
    <w:rsid w:val="00C1132D"/>
    <w:rsid w:val="00C208F4"/>
    <w:rsid w:val="00C242F5"/>
    <w:rsid w:val="00C41BB5"/>
    <w:rsid w:val="00C52F96"/>
    <w:rsid w:val="00C71E72"/>
    <w:rsid w:val="00C72E0E"/>
    <w:rsid w:val="00C84729"/>
    <w:rsid w:val="00C94797"/>
    <w:rsid w:val="00CD1BE0"/>
    <w:rsid w:val="00CE0A0B"/>
    <w:rsid w:val="00CF5EF1"/>
    <w:rsid w:val="00D00590"/>
    <w:rsid w:val="00D1688D"/>
    <w:rsid w:val="00D214B6"/>
    <w:rsid w:val="00D337F8"/>
    <w:rsid w:val="00D3571E"/>
    <w:rsid w:val="00D37437"/>
    <w:rsid w:val="00D4283C"/>
    <w:rsid w:val="00D6167C"/>
    <w:rsid w:val="00DB5FA7"/>
    <w:rsid w:val="00DC5156"/>
    <w:rsid w:val="00DD168E"/>
    <w:rsid w:val="00DE22A5"/>
    <w:rsid w:val="00DE3863"/>
    <w:rsid w:val="00DE5C94"/>
    <w:rsid w:val="00DF16EA"/>
    <w:rsid w:val="00DF4D8F"/>
    <w:rsid w:val="00E15833"/>
    <w:rsid w:val="00E206EA"/>
    <w:rsid w:val="00E2296B"/>
    <w:rsid w:val="00E30F50"/>
    <w:rsid w:val="00E352C4"/>
    <w:rsid w:val="00E37E76"/>
    <w:rsid w:val="00E4598C"/>
    <w:rsid w:val="00E63433"/>
    <w:rsid w:val="00E64CA1"/>
    <w:rsid w:val="00E7136E"/>
    <w:rsid w:val="00E952BD"/>
    <w:rsid w:val="00EA568E"/>
    <w:rsid w:val="00EA797A"/>
    <w:rsid w:val="00EC02A3"/>
    <w:rsid w:val="00EC2F87"/>
    <w:rsid w:val="00EC7768"/>
    <w:rsid w:val="00F0383E"/>
    <w:rsid w:val="00F10320"/>
    <w:rsid w:val="00F11465"/>
    <w:rsid w:val="00F22A41"/>
    <w:rsid w:val="00F331C6"/>
    <w:rsid w:val="00F36111"/>
    <w:rsid w:val="00F45438"/>
    <w:rsid w:val="00F4791E"/>
    <w:rsid w:val="00F5076A"/>
    <w:rsid w:val="00F71A4E"/>
    <w:rsid w:val="00F81610"/>
    <w:rsid w:val="00F844ED"/>
    <w:rsid w:val="00F93501"/>
    <w:rsid w:val="00F944CA"/>
    <w:rsid w:val="00FA6E66"/>
    <w:rsid w:val="00FA7EB9"/>
    <w:rsid w:val="00FB20E0"/>
    <w:rsid w:val="00FB4184"/>
    <w:rsid w:val="00FB6162"/>
    <w:rsid w:val="00FD0B7C"/>
    <w:rsid w:val="00FD6C81"/>
    <w:rsid w:val="00FD7890"/>
    <w:rsid w:val="00FE4332"/>
    <w:rsid w:val="00FF6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8A468"/>
  <w15:chartTrackingRefBased/>
  <w15:docId w15:val="{A63AEA1D-9E09-4E11-8A4D-370A0567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7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7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7E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7E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7E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7E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E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E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E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E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7E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87E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E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E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E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E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E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E97"/>
    <w:rPr>
      <w:rFonts w:eastAsiaTheme="majorEastAsia" w:cstheme="majorBidi"/>
      <w:color w:val="272727" w:themeColor="text1" w:themeTint="D8"/>
    </w:rPr>
  </w:style>
  <w:style w:type="paragraph" w:styleId="Title">
    <w:name w:val="Title"/>
    <w:basedOn w:val="Normal"/>
    <w:next w:val="Normal"/>
    <w:link w:val="TitleChar"/>
    <w:uiPriority w:val="10"/>
    <w:qFormat/>
    <w:rsid w:val="00A87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E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E97"/>
    <w:pPr>
      <w:spacing w:before="160"/>
      <w:jc w:val="center"/>
    </w:pPr>
    <w:rPr>
      <w:i/>
      <w:iCs/>
      <w:color w:val="404040" w:themeColor="text1" w:themeTint="BF"/>
    </w:rPr>
  </w:style>
  <w:style w:type="character" w:customStyle="1" w:styleId="QuoteChar">
    <w:name w:val="Quote Char"/>
    <w:basedOn w:val="DefaultParagraphFont"/>
    <w:link w:val="Quote"/>
    <w:uiPriority w:val="29"/>
    <w:rsid w:val="00A87E97"/>
    <w:rPr>
      <w:i/>
      <w:iCs/>
      <w:color w:val="404040" w:themeColor="text1" w:themeTint="BF"/>
    </w:rPr>
  </w:style>
  <w:style w:type="paragraph" w:styleId="ListParagraph">
    <w:name w:val="List Paragraph"/>
    <w:basedOn w:val="Normal"/>
    <w:uiPriority w:val="34"/>
    <w:qFormat/>
    <w:rsid w:val="00A87E97"/>
    <w:pPr>
      <w:ind w:left="720"/>
      <w:contextualSpacing/>
    </w:pPr>
  </w:style>
  <w:style w:type="character" w:styleId="IntenseEmphasis">
    <w:name w:val="Intense Emphasis"/>
    <w:basedOn w:val="DefaultParagraphFont"/>
    <w:uiPriority w:val="21"/>
    <w:qFormat/>
    <w:rsid w:val="00A87E97"/>
    <w:rPr>
      <w:i/>
      <w:iCs/>
      <w:color w:val="0F4761" w:themeColor="accent1" w:themeShade="BF"/>
    </w:rPr>
  </w:style>
  <w:style w:type="paragraph" w:styleId="IntenseQuote">
    <w:name w:val="Intense Quote"/>
    <w:basedOn w:val="Normal"/>
    <w:next w:val="Normal"/>
    <w:link w:val="IntenseQuoteChar"/>
    <w:uiPriority w:val="30"/>
    <w:qFormat/>
    <w:rsid w:val="00A87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7E97"/>
    <w:rPr>
      <w:i/>
      <w:iCs/>
      <w:color w:val="0F4761" w:themeColor="accent1" w:themeShade="BF"/>
    </w:rPr>
  </w:style>
  <w:style w:type="character" w:styleId="IntenseReference">
    <w:name w:val="Intense Reference"/>
    <w:basedOn w:val="DefaultParagraphFont"/>
    <w:uiPriority w:val="32"/>
    <w:qFormat/>
    <w:rsid w:val="00A87E97"/>
    <w:rPr>
      <w:b/>
      <w:bCs/>
      <w:smallCaps/>
      <w:color w:val="0F4761" w:themeColor="accent1" w:themeShade="BF"/>
      <w:spacing w:val="5"/>
    </w:rPr>
  </w:style>
  <w:style w:type="paragraph" w:styleId="NormalWeb">
    <w:name w:val="Normal (Web)"/>
    <w:basedOn w:val="Normal"/>
    <w:uiPriority w:val="99"/>
    <w:unhideWhenUsed/>
    <w:rsid w:val="00A87E97"/>
    <w:pPr>
      <w:spacing w:after="150" w:line="330" w:lineRule="atLeast"/>
    </w:pPr>
    <w:rPr>
      <w:rFonts w:ascii="Nunito" w:hAnsi="Nunito" w:cs="Aptos"/>
      <w:color w:val="000000"/>
      <w:kern w:val="0"/>
      <w:sz w:val="21"/>
      <w:szCs w:val="21"/>
      <w:lang w:eastAsia="en-GB"/>
      <w14:ligatures w14:val="none"/>
    </w:rPr>
  </w:style>
  <w:style w:type="paragraph" w:styleId="Header">
    <w:name w:val="header"/>
    <w:basedOn w:val="Normal"/>
    <w:link w:val="HeaderChar"/>
    <w:uiPriority w:val="99"/>
    <w:unhideWhenUsed/>
    <w:rsid w:val="00775D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DCA"/>
  </w:style>
  <w:style w:type="paragraph" w:styleId="Footer">
    <w:name w:val="footer"/>
    <w:basedOn w:val="Normal"/>
    <w:link w:val="FooterChar"/>
    <w:uiPriority w:val="99"/>
    <w:unhideWhenUsed/>
    <w:rsid w:val="00775D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DCA"/>
  </w:style>
  <w:style w:type="paragraph" w:styleId="FootnoteText">
    <w:name w:val="footnote text"/>
    <w:basedOn w:val="Normal"/>
    <w:link w:val="FootnoteTextChar"/>
    <w:uiPriority w:val="99"/>
    <w:semiHidden/>
    <w:unhideWhenUsed/>
    <w:rsid w:val="004C5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53ED"/>
    <w:rPr>
      <w:sz w:val="20"/>
      <w:szCs w:val="20"/>
    </w:rPr>
  </w:style>
  <w:style w:type="character" w:styleId="FootnoteReference">
    <w:name w:val="footnote reference"/>
    <w:basedOn w:val="DefaultParagraphFont"/>
    <w:uiPriority w:val="99"/>
    <w:semiHidden/>
    <w:unhideWhenUsed/>
    <w:rsid w:val="004C53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0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3C0AE-8068-49BB-84DD-27930F0E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3829</Words>
  <Characters>21831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Sheldon</dc:creator>
  <cp:keywords/>
  <dc:description/>
  <cp:lastModifiedBy>George Cant</cp:lastModifiedBy>
  <cp:revision>2</cp:revision>
  <dcterms:created xsi:type="dcterms:W3CDTF">2025-05-02T11:19:00Z</dcterms:created>
  <dcterms:modified xsi:type="dcterms:W3CDTF">2025-05-02T11:19:00Z</dcterms:modified>
</cp:coreProperties>
</file>